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B72A6F" w14:textId="104E7A1D" w:rsidR="00B819E1" w:rsidRPr="008F3AB1" w:rsidRDefault="00827A41" w:rsidP="00F42211">
      <w:pPr>
        <w:spacing w:after="0"/>
        <w:rPr>
          <w:rFonts w:eastAsia="Times New Roman" w:cs="Arial"/>
          <w:noProof/>
          <w:sz w:val="20"/>
          <w:szCs w:val="20"/>
          <w:lang w:eastAsia="es-CO"/>
        </w:rPr>
      </w:pPr>
      <w:r w:rsidRPr="008F3AB1">
        <w:rPr>
          <w:rFonts w:eastAsia="Times New Roman" w:cs="Arial"/>
          <w:noProof/>
          <w:sz w:val="20"/>
          <w:szCs w:val="20"/>
          <w:lang w:val="en-US"/>
        </w:rPr>
        <w:drawing>
          <wp:anchor distT="0" distB="0" distL="114300" distR="114300" simplePos="0" relativeHeight="251694080" behindDoc="1" locked="0" layoutInCell="1" allowOverlap="1" wp14:anchorId="2DAF52A0" wp14:editId="4018DA22">
            <wp:simplePos x="0" y="0"/>
            <wp:positionH relativeFrom="column">
              <wp:posOffset>2179001</wp:posOffset>
            </wp:positionH>
            <wp:positionV relativeFrom="paragraph">
              <wp:posOffset>-899795</wp:posOffset>
            </wp:positionV>
            <wp:extent cx="1458913" cy="1458913"/>
            <wp:effectExtent l="0" t="0" r="0" b="0"/>
            <wp:wrapNone/>
            <wp:docPr id="638498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9886" name="Imagen 1"/>
                    <pic:cNvPicPr>
                      <a:picLocks noChangeAspect="1"/>
                    </pic:cNvPicPr>
                  </pic:nvPicPr>
                  <pic:blipFill>
                    <a:blip r:embed="rId8" cstate="print">
                      <a:extLst>
                        <a:ext uri="{28A0092B-C50C-407E-A947-70E740481C1C}">
                          <a14:useLocalDpi xmlns:a14="http://schemas.microsoft.com/office/drawing/2010/main" val="0"/>
                        </a:ext>
                      </a:extLst>
                    </a:blip>
                    <a:srcRect/>
                    <a:stretch/>
                  </pic:blipFill>
                  <pic:spPr>
                    <a:xfrm>
                      <a:off x="0" y="0"/>
                      <a:ext cx="1458913" cy="1458913"/>
                    </a:xfrm>
                    <a:prstGeom prst="rect">
                      <a:avLst/>
                    </a:prstGeom>
                  </pic:spPr>
                </pic:pic>
              </a:graphicData>
            </a:graphic>
          </wp:anchor>
        </w:drawing>
      </w:r>
    </w:p>
    <w:p w14:paraId="3102A08D" w14:textId="5C856F46" w:rsidR="00B819E1" w:rsidRPr="008F3AB1" w:rsidRDefault="00F55069" w:rsidP="00F42211">
      <w:pPr>
        <w:spacing w:after="0"/>
        <w:rPr>
          <w:rFonts w:eastAsia="Times New Roman" w:cs="Arial"/>
          <w:noProof/>
          <w:sz w:val="20"/>
          <w:szCs w:val="20"/>
          <w:lang w:eastAsia="es-CO"/>
        </w:rPr>
      </w:pPr>
      <w:r w:rsidRPr="008F3AB1">
        <w:rPr>
          <w:rFonts w:eastAsia="Times New Roman" w:cs="Arial"/>
          <w:b/>
          <w:i/>
          <w:iCs/>
          <w:noProof/>
          <w:sz w:val="24"/>
          <w:szCs w:val="24"/>
          <w:lang w:val="en-US"/>
        </w:rPr>
        <w:drawing>
          <wp:anchor distT="0" distB="0" distL="114300" distR="114300" simplePos="0" relativeHeight="251687935" behindDoc="1" locked="0" layoutInCell="1" allowOverlap="1" wp14:anchorId="3E6B0301" wp14:editId="2C2AF41E">
            <wp:simplePos x="0" y="0"/>
            <wp:positionH relativeFrom="page">
              <wp:align>left</wp:align>
            </wp:positionH>
            <wp:positionV relativeFrom="paragraph">
              <wp:posOffset>277987</wp:posOffset>
            </wp:positionV>
            <wp:extent cx="7819390" cy="6563995"/>
            <wp:effectExtent l="0" t="0" r="0" b="8255"/>
            <wp:wrapTight wrapText="bothSides">
              <wp:wrapPolygon edited="0">
                <wp:start x="0" y="0"/>
                <wp:lineTo x="0" y="21564"/>
                <wp:lineTo x="21523" y="21564"/>
                <wp:lineTo x="21523" y="0"/>
                <wp:lineTo x="0" y="0"/>
              </wp:wrapPolygon>
            </wp:wrapTight>
            <wp:docPr id="2" name="Imagen 2" descr="C:\Users\Dalila\Downloads\avocado-1313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a\Downloads\avocado-1313798.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20561"/>
                    <a:stretch/>
                  </pic:blipFill>
                  <pic:spPr bwMode="auto">
                    <a:xfrm>
                      <a:off x="0" y="0"/>
                      <a:ext cx="7820386" cy="65645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E0A21" w:rsidRPr="008F3AB1">
        <w:rPr>
          <w:rFonts w:eastAsia="Times New Roman" w:cs="Arial"/>
          <w:noProof/>
          <w:sz w:val="20"/>
          <w:szCs w:val="20"/>
          <w:lang w:val="en-US"/>
        </w:rPr>
        <mc:AlternateContent>
          <mc:Choice Requires="wps">
            <w:drawing>
              <wp:anchor distT="0" distB="0" distL="114300" distR="114300" simplePos="0" relativeHeight="251701248" behindDoc="0" locked="0" layoutInCell="1" allowOverlap="1" wp14:anchorId="7FC5DBE0" wp14:editId="4F344795">
                <wp:simplePos x="0" y="0"/>
                <wp:positionH relativeFrom="margin">
                  <wp:posOffset>-970953</wp:posOffset>
                </wp:positionH>
                <wp:positionV relativeFrom="paragraph">
                  <wp:posOffset>6351242</wp:posOffset>
                </wp:positionV>
                <wp:extent cx="4421875" cy="2415653"/>
                <wp:effectExtent l="0" t="0" r="0" b="0"/>
                <wp:wrapNone/>
                <wp:docPr id="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21875" cy="2415653"/>
                        </a:xfrm>
                        <a:prstGeom prst="rect">
                          <a:avLst/>
                        </a:prstGeom>
                        <a:noFill/>
                        <a:ln>
                          <a:noFill/>
                        </a:ln>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14:paraId="59C01782" w14:textId="720AC722" w:rsidR="00CD7AEB" w:rsidRPr="00CE03AB" w:rsidRDefault="00CD7AEB" w:rsidP="00FE0A21">
                            <w:pPr>
                              <w:pStyle w:val="Sinespaciado"/>
                              <w:rPr>
                                <w:rFonts w:ascii="Arial" w:hAnsi="Arial" w:cs="Arial"/>
                                <w:b/>
                                <w:color w:val="FFFFFF" w:themeColor="background1"/>
                                <w:sz w:val="52"/>
                                <w:szCs w:val="24"/>
                              </w:rPr>
                            </w:pPr>
                            <w:r w:rsidRPr="00CE03AB">
                              <w:rPr>
                                <w:rFonts w:ascii="Arial" w:hAnsi="Arial" w:cs="Arial"/>
                                <w:b/>
                                <w:color w:val="FFFFFF" w:themeColor="background1"/>
                                <w:sz w:val="52"/>
                                <w:szCs w:val="24"/>
                              </w:rPr>
                              <w:t xml:space="preserve">Lineamientos </w:t>
                            </w:r>
                            <w:r>
                              <w:rPr>
                                <w:rFonts w:ascii="Arial" w:hAnsi="Arial" w:cs="Arial"/>
                                <w:b/>
                                <w:color w:val="FFFFFF" w:themeColor="background1"/>
                                <w:sz w:val="52"/>
                                <w:szCs w:val="24"/>
                              </w:rPr>
                              <w:t xml:space="preserve">para la </w:t>
                            </w:r>
                            <w:r w:rsidRPr="00CE03AB">
                              <w:rPr>
                                <w:rFonts w:ascii="Arial" w:hAnsi="Arial" w:cs="Arial"/>
                                <w:b/>
                                <w:color w:val="FFFFFF" w:themeColor="background1"/>
                                <w:sz w:val="52"/>
                                <w:szCs w:val="24"/>
                              </w:rPr>
                              <w:t xml:space="preserve">producción sostenible </w:t>
                            </w:r>
                            <w:r>
                              <w:rPr>
                                <w:rFonts w:ascii="Arial" w:hAnsi="Arial" w:cs="Arial"/>
                                <w:b/>
                                <w:color w:val="FFFFFF" w:themeColor="background1"/>
                                <w:sz w:val="52"/>
                                <w:szCs w:val="24"/>
                              </w:rPr>
                              <w:t xml:space="preserve">en cultivos </w:t>
                            </w:r>
                            <w:r w:rsidRPr="00CE03AB">
                              <w:rPr>
                                <w:rFonts w:ascii="Arial" w:hAnsi="Arial" w:cs="Arial"/>
                                <w:b/>
                                <w:color w:val="FFFFFF" w:themeColor="background1"/>
                                <w:sz w:val="52"/>
                                <w:szCs w:val="24"/>
                              </w:rPr>
                              <w:t>de aguacate en Colombia</w:t>
                            </w:r>
                          </w:p>
                        </w:txbxContent>
                      </wps:txbx>
                      <wps:bodyPr rot="0" vert="horz" wrap="square" lIns="365760" tIns="182880" rIns="182880" bIns="182880" anchor="b" anchorCtr="0" upright="1">
                        <a:noAutofit/>
                      </wps:bodyPr>
                    </wps:wsp>
                  </a:graphicData>
                </a:graphic>
                <wp14:sizeRelH relativeFrom="margin">
                  <wp14:pctWidth>0</wp14:pctWidth>
                </wp14:sizeRelH>
                <wp14:sizeRelV relativeFrom="margin">
                  <wp14:pctHeight>0</wp14:pctHeight>
                </wp14:sizeRelV>
              </wp:anchor>
            </w:drawing>
          </mc:Choice>
          <mc:Fallback>
            <w:pict>
              <v:rect w14:anchorId="7FC5DBE0" id="Rectangle 9" o:spid="_x0000_s1026" style="position:absolute;left:0;text-align:left;margin-left:-76.45pt;margin-top:500.1pt;width:348.2pt;height:190.2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" filled="f" stroked="f" strokecolor="white" strokeweight="1pt">
                <v:fill opacity="52428f"/>
                <v:textbox inset="28.8pt,14.4pt,14.4pt,14.4pt">
                  <w:txbxContent>
                    <w:p w14:paraId="59C01782" w14:textId="720AC722" w:rsidR="00CD7AEB" w:rsidRPr="00CE03AB" w:rsidRDefault="00CD7AEB" w:rsidP="00FE0A21">
                      <w:pPr>
                        <w:pStyle w:val="Sinespaciado"/>
                        <w:rPr>
                          <w:rFonts w:ascii="Arial" w:hAnsi="Arial" w:cs="Arial"/>
                          <w:b/>
                          <w:color w:val="FFFFFF" w:themeColor="background1"/>
                          <w:sz w:val="52"/>
                          <w:szCs w:val="24"/>
                        </w:rPr>
                      </w:pPr>
                      <w:r w:rsidRPr="00CE03AB">
                        <w:rPr>
                          <w:rFonts w:ascii="Arial" w:hAnsi="Arial" w:cs="Arial"/>
                          <w:b/>
                          <w:color w:val="FFFFFF" w:themeColor="background1"/>
                          <w:sz w:val="52"/>
                          <w:szCs w:val="24"/>
                        </w:rPr>
                        <w:t xml:space="preserve">Lineamientos </w:t>
                      </w:r>
                      <w:r>
                        <w:rPr>
                          <w:rFonts w:ascii="Arial" w:hAnsi="Arial" w:cs="Arial"/>
                          <w:b/>
                          <w:color w:val="FFFFFF" w:themeColor="background1"/>
                          <w:sz w:val="52"/>
                          <w:szCs w:val="24"/>
                        </w:rPr>
                        <w:t xml:space="preserve">para la </w:t>
                      </w:r>
                      <w:r w:rsidRPr="00CE03AB">
                        <w:rPr>
                          <w:rFonts w:ascii="Arial" w:hAnsi="Arial" w:cs="Arial"/>
                          <w:b/>
                          <w:color w:val="FFFFFF" w:themeColor="background1"/>
                          <w:sz w:val="52"/>
                          <w:szCs w:val="24"/>
                        </w:rPr>
                        <w:t xml:space="preserve">producción sostenible </w:t>
                      </w:r>
                      <w:r>
                        <w:rPr>
                          <w:rFonts w:ascii="Arial" w:hAnsi="Arial" w:cs="Arial"/>
                          <w:b/>
                          <w:color w:val="FFFFFF" w:themeColor="background1"/>
                          <w:sz w:val="52"/>
                          <w:szCs w:val="24"/>
                        </w:rPr>
                        <w:t xml:space="preserve">en cultivos </w:t>
                      </w:r>
                      <w:r w:rsidRPr="00CE03AB">
                        <w:rPr>
                          <w:rFonts w:ascii="Arial" w:hAnsi="Arial" w:cs="Arial"/>
                          <w:b/>
                          <w:color w:val="FFFFFF" w:themeColor="background1"/>
                          <w:sz w:val="52"/>
                          <w:szCs w:val="24"/>
                        </w:rPr>
                        <w:t>de aguacate en Colombia</w:t>
                      </w:r>
                    </w:p>
                  </w:txbxContent>
                </v:textbox>
                <w10:wrap anchorx="margin"/>
              </v:rect>
            </w:pict>
          </mc:Fallback>
        </mc:AlternateContent>
      </w:r>
      <w:r w:rsidR="00FE0A21" w:rsidRPr="008F3AB1">
        <w:rPr>
          <w:rFonts w:eastAsia="Times New Roman" w:cs="Arial"/>
          <w:b/>
          <w:i/>
          <w:iCs/>
          <w:noProof/>
          <w:sz w:val="24"/>
          <w:szCs w:val="24"/>
          <w:lang w:val="en-US"/>
        </w:rPr>
        <mc:AlternateContent>
          <mc:Choice Requires="wps">
            <w:drawing>
              <wp:anchor distT="0" distB="0" distL="114300" distR="114300" simplePos="0" relativeHeight="251695615" behindDoc="0" locked="0" layoutInCell="1" allowOverlap="1" wp14:anchorId="335DBDEB" wp14:editId="060AB5A9">
                <wp:simplePos x="0" y="0"/>
                <wp:positionH relativeFrom="column">
                  <wp:posOffset>-1216612</wp:posOffset>
                </wp:positionH>
                <wp:positionV relativeFrom="paragraph">
                  <wp:posOffset>6242059</wp:posOffset>
                </wp:positionV>
                <wp:extent cx="7942514" cy="2825087"/>
                <wp:effectExtent l="0" t="0" r="20955" b="13970"/>
                <wp:wrapNone/>
                <wp:docPr id="4" name="Rectángulo 4"/>
                <wp:cNvGraphicFramePr/>
                <a:graphic xmlns:a="http://schemas.openxmlformats.org/drawingml/2006/main">
                  <a:graphicData uri="http://schemas.microsoft.com/office/word/2010/wordprocessingShape">
                    <wps:wsp>
                      <wps:cNvSpPr/>
                      <wps:spPr>
                        <a:xfrm>
                          <a:off x="0" y="0"/>
                          <a:ext cx="7942514" cy="2825087"/>
                        </a:xfrm>
                        <a:prstGeom prst="rect">
                          <a:avLst/>
                        </a:prstGeom>
                        <a:solidFill>
                          <a:schemeClr val="accent6">
                            <a:lumMod val="60000"/>
                            <a:lumOff val="40000"/>
                          </a:schemeClr>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CA09ED" id="Rectángulo 4" o:spid="_x0000_s1026" style="position:absolute;margin-left:-95.8pt;margin-top:491.5pt;width:625.4pt;height:222.45pt;z-index:25169561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" fillcolor="#a8d08d [1945]" strokecolor="#375623 [1609]" strokeweight="1pt"/>
            </w:pict>
          </mc:Fallback>
        </mc:AlternateContent>
      </w:r>
    </w:p>
    <w:p w14:paraId="4AF33C57" w14:textId="3F687196" w:rsidR="00B819E1" w:rsidRPr="008F3AB1" w:rsidRDefault="00FE0A21" w:rsidP="00F42211">
      <w:pPr>
        <w:spacing w:after="0"/>
        <w:rPr>
          <w:rFonts w:eastAsia="Times New Roman" w:cs="Arial"/>
          <w:noProof/>
          <w:sz w:val="20"/>
          <w:szCs w:val="20"/>
          <w:lang w:eastAsia="es-CO"/>
        </w:rPr>
      </w:pPr>
      <w:r w:rsidRPr="008F3AB1">
        <w:rPr>
          <w:rFonts w:eastAsia="Times New Roman" w:cs="Arial"/>
          <w:noProof/>
          <w:sz w:val="20"/>
          <w:szCs w:val="20"/>
          <w:lang w:val="en-US"/>
        </w:rPr>
        <mc:AlternateContent>
          <mc:Choice Requires="wps">
            <w:drawing>
              <wp:anchor distT="0" distB="0" distL="114300" distR="114300" simplePos="0" relativeHeight="251697152" behindDoc="0" locked="0" layoutInCell="1" allowOverlap="1" wp14:anchorId="4BC72FA5" wp14:editId="463E6100">
                <wp:simplePos x="0" y="0"/>
                <wp:positionH relativeFrom="margin">
                  <wp:posOffset>3531624</wp:posOffset>
                </wp:positionH>
                <wp:positionV relativeFrom="paragraph">
                  <wp:posOffset>6737985</wp:posOffset>
                </wp:positionV>
                <wp:extent cx="2946400" cy="1727200"/>
                <wp:effectExtent l="0" t="0" r="0" b="0"/>
                <wp:wrapNone/>
                <wp:docPr id="2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46400" cy="1727200"/>
                        </a:xfrm>
                        <a:prstGeom prst="rect">
                          <a:avLst/>
                        </a:prstGeom>
                        <a:noFill/>
                        <a:ln>
                          <a:noFill/>
                        </a:ln>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14:paraId="574D7758" w14:textId="74514D6F" w:rsidR="00CD7AEB" w:rsidRPr="00FB3E28" w:rsidRDefault="00CD7AEB" w:rsidP="00E24C10">
                            <w:pPr>
                              <w:pStyle w:val="Sinespaciado"/>
                              <w:spacing w:line="360" w:lineRule="auto"/>
                              <w:jc w:val="right"/>
                              <w:rPr>
                                <w:rFonts w:ascii="Arial Narrow" w:hAnsi="Arial Narrow" w:cs="Arial"/>
                                <w:b/>
                                <w:color w:val="000000" w:themeColor="text1"/>
                                <w:sz w:val="28"/>
                                <w:szCs w:val="24"/>
                              </w:rPr>
                            </w:pPr>
                            <w:r w:rsidRPr="00FB3E28">
                              <w:rPr>
                                <w:rFonts w:ascii="Arial Narrow" w:hAnsi="Arial Narrow" w:cs="Arial"/>
                                <w:b/>
                                <w:color w:val="000000" w:themeColor="text1"/>
                                <w:sz w:val="28"/>
                                <w:szCs w:val="24"/>
                              </w:rPr>
                              <w:t xml:space="preserve">Versión </w:t>
                            </w:r>
                            <w:r>
                              <w:rPr>
                                <w:rFonts w:ascii="Arial Narrow" w:hAnsi="Arial Narrow" w:cs="Arial"/>
                                <w:b/>
                                <w:color w:val="000000" w:themeColor="text1"/>
                                <w:sz w:val="28"/>
                                <w:szCs w:val="24"/>
                              </w:rPr>
                              <w:t>3</w:t>
                            </w:r>
                          </w:p>
                          <w:p w14:paraId="51E85883" w14:textId="74FAF7C2" w:rsidR="00CD7AEB" w:rsidRPr="00FB3E28" w:rsidRDefault="00CD7AEB" w:rsidP="00E24C10">
                            <w:pPr>
                              <w:pStyle w:val="Sinespaciado"/>
                              <w:spacing w:line="360" w:lineRule="auto"/>
                              <w:jc w:val="right"/>
                              <w:rPr>
                                <w:rFonts w:ascii="Arial Narrow" w:hAnsi="Arial Narrow" w:cs="Arial"/>
                                <w:b/>
                                <w:color w:val="000000" w:themeColor="text1"/>
                                <w:sz w:val="28"/>
                                <w:szCs w:val="24"/>
                              </w:rPr>
                            </w:pPr>
                            <w:r>
                              <w:rPr>
                                <w:rFonts w:ascii="Arial Narrow" w:hAnsi="Arial Narrow" w:cs="Arial"/>
                                <w:b/>
                                <w:color w:val="000000" w:themeColor="text1"/>
                                <w:sz w:val="28"/>
                                <w:szCs w:val="24"/>
                                <w:lang w:val="es-ES"/>
                              </w:rPr>
                              <w:t>20</w:t>
                            </w:r>
                            <w:r w:rsidRPr="00997529">
                              <w:rPr>
                                <w:rFonts w:ascii="Arial Narrow" w:hAnsi="Arial Narrow" w:cs="Arial"/>
                                <w:b/>
                                <w:color w:val="000000" w:themeColor="text1"/>
                                <w:sz w:val="28"/>
                                <w:szCs w:val="24"/>
                                <w:lang w:val="es-ES"/>
                              </w:rPr>
                              <w:t>/</w:t>
                            </w:r>
                            <w:r>
                              <w:rPr>
                                <w:rFonts w:ascii="Arial Narrow" w:hAnsi="Arial Narrow" w:cs="Arial"/>
                                <w:b/>
                                <w:color w:val="000000" w:themeColor="text1"/>
                                <w:sz w:val="28"/>
                                <w:szCs w:val="24"/>
                                <w:lang w:val="es-ES"/>
                              </w:rPr>
                              <w:t>10</w:t>
                            </w:r>
                            <w:r w:rsidRPr="00997529">
                              <w:rPr>
                                <w:rFonts w:ascii="Arial Narrow" w:hAnsi="Arial Narrow" w:cs="Arial"/>
                                <w:b/>
                                <w:color w:val="000000" w:themeColor="text1"/>
                                <w:sz w:val="28"/>
                                <w:szCs w:val="24"/>
                                <w:lang w:val="es-ES"/>
                              </w:rPr>
                              <w:t>/</w:t>
                            </w:r>
                            <w:r>
                              <w:rPr>
                                <w:rFonts w:ascii="Arial Narrow" w:hAnsi="Arial Narrow" w:cs="Arial"/>
                                <w:b/>
                                <w:color w:val="000000" w:themeColor="text1"/>
                                <w:sz w:val="28"/>
                                <w:szCs w:val="24"/>
                                <w:lang w:val="es-ES"/>
                              </w:rPr>
                              <w:t>2025</w:t>
                            </w:r>
                          </w:p>
                        </w:txbxContent>
                      </wps:txbx>
                      <wps:bodyPr rot="0" vert="horz" wrap="square" lIns="365760" tIns="182880" rIns="182880" bIns="182880" anchor="b" anchorCtr="0" upright="1">
                        <a:noAutofit/>
                      </wps:bodyPr>
                    </wps:wsp>
                  </a:graphicData>
                </a:graphic>
                <wp14:sizeRelH relativeFrom="margin">
                  <wp14:pctWidth>0</wp14:pctWidth>
                </wp14:sizeRelH>
                <wp14:sizeRelV relativeFrom="margin">
                  <wp14:pctHeight>0</wp14:pctHeight>
                </wp14:sizeRelV>
              </wp:anchor>
            </w:drawing>
          </mc:Choice>
          <mc:Fallback>
            <w:pict>
              <v:rect w14:anchorId="4BC72FA5" id="_x0000_s1027" style="position:absolute;left:0;text-align:left;margin-left:278.1pt;margin-top:530.55pt;width:232pt;height:136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" filled="f" stroked="f" strokecolor="white" strokeweight="1pt">
                <v:fill opacity="52428f"/>
                <v:textbox inset="28.8pt,14.4pt,14.4pt,14.4pt">
                  <w:txbxContent>
                    <w:p w14:paraId="574D7758" w14:textId="74514D6F" w:rsidR="00CD7AEB" w:rsidRPr="00FB3E28" w:rsidRDefault="00CD7AEB" w:rsidP="00E24C10">
                      <w:pPr>
                        <w:pStyle w:val="Sinespaciado"/>
                        <w:spacing w:line="360" w:lineRule="auto"/>
                        <w:jc w:val="right"/>
                        <w:rPr>
                          <w:rFonts w:ascii="Arial Narrow" w:hAnsi="Arial Narrow" w:cs="Arial"/>
                          <w:b/>
                          <w:color w:val="000000" w:themeColor="text1"/>
                          <w:sz w:val="28"/>
                          <w:szCs w:val="24"/>
                        </w:rPr>
                      </w:pPr>
                      <w:r w:rsidRPr="00FB3E28">
                        <w:rPr>
                          <w:rFonts w:ascii="Arial Narrow" w:hAnsi="Arial Narrow" w:cs="Arial"/>
                          <w:b/>
                          <w:color w:val="000000" w:themeColor="text1"/>
                          <w:sz w:val="28"/>
                          <w:szCs w:val="24"/>
                        </w:rPr>
                        <w:t xml:space="preserve">Versión </w:t>
                      </w:r>
                      <w:r>
                        <w:rPr>
                          <w:rFonts w:ascii="Arial Narrow" w:hAnsi="Arial Narrow" w:cs="Arial"/>
                          <w:b/>
                          <w:color w:val="000000" w:themeColor="text1"/>
                          <w:sz w:val="28"/>
                          <w:szCs w:val="24"/>
                        </w:rPr>
                        <w:t>3</w:t>
                      </w:r>
                    </w:p>
                    <w:p w14:paraId="51E85883" w14:textId="74FAF7C2" w:rsidR="00CD7AEB" w:rsidRPr="00FB3E28" w:rsidRDefault="00CD7AEB" w:rsidP="00E24C10">
                      <w:pPr>
                        <w:pStyle w:val="Sinespaciado"/>
                        <w:spacing w:line="360" w:lineRule="auto"/>
                        <w:jc w:val="right"/>
                        <w:rPr>
                          <w:rFonts w:ascii="Arial Narrow" w:hAnsi="Arial Narrow" w:cs="Arial"/>
                          <w:b/>
                          <w:color w:val="000000" w:themeColor="text1"/>
                          <w:sz w:val="28"/>
                          <w:szCs w:val="24"/>
                        </w:rPr>
                      </w:pPr>
                      <w:r>
                        <w:rPr>
                          <w:rFonts w:ascii="Arial Narrow" w:hAnsi="Arial Narrow" w:cs="Arial"/>
                          <w:b/>
                          <w:color w:val="000000" w:themeColor="text1"/>
                          <w:sz w:val="28"/>
                          <w:szCs w:val="24"/>
                          <w:lang w:val="es-ES"/>
                        </w:rPr>
                        <w:t>20</w:t>
                      </w:r>
                      <w:r w:rsidRPr="00997529">
                        <w:rPr>
                          <w:rFonts w:ascii="Arial Narrow" w:hAnsi="Arial Narrow" w:cs="Arial"/>
                          <w:b/>
                          <w:color w:val="000000" w:themeColor="text1"/>
                          <w:sz w:val="28"/>
                          <w:szCs w:val="24"/>
                          <w:lang w:val="es-ES"/>
                        </w:rPr>
                        <w:t>/</w:t>
                      </w:r>
                      <w:r>
                        <w:rPr>
                          <w:rFonts w:ascii="Arial Narrow" w:hAnsi="Arial Narrow" w:cs="Arial"/>
                          <w:b/>
                          <w:color w:val="000000" w:themeColor="text1"/>
                          <w:sz w:val="28"/>
                          <w:szCs w:val="24"/>
                          <w:lang w:val="es-ES"/>
                        </w:rPr>
                        <w:t>10</w:t>
                      </w:r>
                      <w:r w:rsidRPr="00997529">
                        <w:rPr>
                          <w:rFonts w:ascii="Arial Narrow" w:hAnsi="Arial Narrow" w:cs="Arial"/>
                          <w:b/>
                          <w:color w:val="000000" w:themeColor="text1"/>
                          <w:sz w:val="28"/>
                          <w:szCs w:val="24"/>
                          <w:lang w:val="es-ES"/>
                        </w:rPr>
                        <w:t>/</w:t>
                      </w:r>
                      <w:r>
                        <w:rPr>
                          <w:rFonts w:ascii="Arial Narrow" w:hAnsi="Arial Narrow" w:cs="Arial"/>
                          <w:b/>
                          <w:color w:val="000000" w:themeColor="text1"/>
                          <w:sz w:val="28"/>
                          <w:szCs w:val="24"/>
                          <w:lang w:val="es-ES"/>
                        </w:rPr>
                        <w:t>2025</w:t>
                      </w:r>
                    </w:p>
                  </w:txbxContent>
                </v:textbox>
                <w10:wrap anchorx="margin"/>
              </v:rect>
            </w:pict>
          </mc:Fallback>
        </mc:AlternateContent>
      </w:r>
    </w:p>
    <w:p w14:paraId="16DE2E0E" w14:textId="48BC26CB" w:rsidR="00F42211" w:rsidRPr="008F3AB1" w:rsidRDefault="00F42211" w:rsidP="00F42211">
      <w:pPr>
        <w:spacing w:after="0"/>
        <w:rPr>
          <w:rFonts w:eastAsia="Times New Roman" w:cs="Arial"/>
          <w:sz w:val="20"/>
          <w:szCs w:val="20"/>
          <w:lang w:eastAsia="es-ES"/>
        </w:rPr>
      </w:pPr>
    </w:p>
    <w:p w14:paraId="3613E7CF" w14:textId="50FEA448" w:rsidR="00B819E1" w:rsidRPr="008F3AB1" w:rsidRDefault="00B819E1" w:rsidP="00B819E1">
      <w:pPr>
        <w:spacing w:after="0"/>
        <w:rPr>
          <w:rFonts w:eastAsia="Times New Roman" w:cs="Arial"/>
          <w:b/>
          <w:sz w:val="24"/>
          <w:szCs w:val="24"/>
          <w:lang w:eastAsia="es-ES"/>
        </w:rPr>
      </w:pPr>
      <w:bookmarkStart w:id="0" w:name="_Hlk115270052"/>
      <w:bookmarkStart w:id="1" w:name="_Toc357579103"/>
      <w:bookmarkEnd w:id="0"/>
      <w:bookmarkEnd w:id="1"/>
    </w:p>
    <w:p w14:paraId="7B58296B" w14:textId="03FF1ECF" w:rsidR="00B819E1" w:rsidRPr="008F3AB1" w:rsidRDefault="00B819E1" w:rsidP="00B819E1">
      <w:pPr>
        <w:spacing w:after="0"/>
        <w:rPr>
          <w:rFonts w:eastAsia="Times New Roman" w:cs="Arial"/>
          <w:b/>
          <w:sz w:val="24"/>
          <w:szCs w:val="24"/>
          <w:lang w:eastAsia="es-ES"/>
        </w:rPr>
      </w:pPr>
    </w:p>
    <w:p w14:paraId="45BD6B46" w14:textId="136ABEEC" w:rsidR="00B819E1" w:rsidRPr="008F3AB1" w:rsidRDefault="00B819E1" w:rsidP="00B819E1">
      <w:pPr>
        <w:spacing w:after="0"/>
        <w:rPr>
          <w:rFonts w:eastAsia="Times New Roman" w:cs="Arial"/>
          <w:b/>
          <w:sz w:val="24"/>
          <w:szCs w:val="24"/>
          <w:lang w:eastAsia="es-ES"/>
        </w:rPr>
      </w:pPr>
    </w:p>
    <w:p w14:paraId="5670896D" w14:textId="393E2BF2" w:rsidR="00B819E1" w:rsidRPr="008F3AB1" w:rsidRDefault="00B819E1" w:rsidP="00B819E1">
      <w:pPr>
        <w:spacing w:after="0"/>
        <w:rPr>
          <w:rFonts w:eastAsia="Times New Roman" w:cs="Arial"/>
          <w:b/>
          <w:sz w:val="24"/>
          <w:szCs w:val="24"/>
          <w:lang w:eastAsia="es-ES"/>
        </w:rPr>
      </w:pPr>
    </w:p>
    <w:p w14:paraId="78626E1E" w14:textId="79A5FEFF" w:rsidR="00B819E1" w:rsidRPr="008F3AB1" w:rsidRDefault="00B819E1" w:rsidP="00B819E1">
      <w:pPr>
        <w:spacing w:after="0"/>
        <w:rPr>
          <w:rFonts w:eastAsia="Times New Roman" w:cs="Arial"/>
          <w:b/>
          <w:i/>
          <w:iCs/>
          <w:sz w:val="24"/>
          <w:szCs w:val="24"/>
          <w:lang w:eastAsia="es-ES"/>
        </w:rPr>
      </w:pPr>
    </w:p>
    <w:p w14:paraId="4B4E5D92" w14:textId="1F05CFA7" w:rsidR="00B819E1" w:rsidRPr="008F3AB1" w:rsidRDefault="00B819E1" w:rsidP="00B819E1">
      <w:pPr>
        <w:spacing w:after="0"/>
        <w:rPr>
          <w:rFonts w:eastAsia="Times New Roman" w:cs="Arial"/>
          <w:b/>
          <w:sz w:val="24"/>
          <w:szCs w:val="24"/>
          <w:lang w:eastAsia="es-ES"/>
        </w:rPr>
      </w:pPr>
    </w:p>
    <w:p w14:paraId="64B33ECC" w14:textId="77777777" w:rsidR="00827A41" w:rsidRPr="008F3AB1" w:rsidRDefault="00827A41" w:rsidP="00827A41">
      <w:pPr>
        <w:spacing w:after="0"/>
        <w:rPr>
          <w:rFonts w:eastAsiaTheme="minorEastAsia" w:cs="Arial"/>
          <w:szCs w:val="24"/>
          <w:lang w:val="es-ES_tradnl" w:eastAsia="es-ES"/>
        </w:rPr>
      </w:pPr>
      <w:r w:rsidRPr="008F3AB1">
        <w:rPr>
          <w:rFonts w:eastAsiaTheme="minorEastAsia" w:cs="Arial"/>
          <w:szCs w:val="24"/>
          <w:lang w:val="es-ES_tradnl" w:eastAsia="es-ES"/>
        </w:rPr>
        <w:t>Revisión 3.</w:t>
      </w:r>
    </w:p>
    <w:p w14:paraId="4B7D0A73" w14:textId="77777777" w:rsidR="00827A41" w:rsidRPr="008F3AB1" w:rsidRDefault="00827A41" w:rsidP="00827A41">
      <w:pPr>
        <w:spacing w:after="0"/>
        <w:rPr>
          <w:rFonts w:eastAsiaTheme="minorEastAsia" w:cs="Arial"/>
          <w:szCs w:val="24"/>
          <w:lang w:val="es-ES_tradnl" w:eastAsia="es-ES"/>
        </w:rPr>
      </w:pPr>
    </w:p>
    <w:p w14:paraId="1706BEAA" w14:textId="77777777" w:rsidR="00827A41" w:rsidRPr="008F3AB1" w:rsidRDefault="00827A41" w:rsidP="00827A41">
      <w:pPr>
        <w:spacing w:after="0"/>
        <w:rPr>
          <w:rFonts w:eastAsiaTheme="minorEastAsia" w:cs="Arial"/>
          <w:szCs w:val="24"/>
          <w:lang w:val="es-ES_tradnl" w:eastAsia="es-ES"/>
        </w:rPr>
      </w:pPr>
      <w:r w:rsidRPr="008F3AB1">
        <w:rPr>
          <w:rFonts w:eastAsiaTheme="minorEastAsia" w:cs="Arial"/>
          <w:szCs w:val="24"/>
          <w:lang w:val="es-ES_tradnl" w:eastAsia="es-ES"/>
        </w:rPr>
        <w:t>Ejecuta:</w:t>
      </w:r>
    </w:p>
    <w:p w14:paraId="78CD2DE9" w14:textId="77777777" w:rsidR="00827A41" w:rsidRPr="008F3AB1" w:rsidRDefault="00827A41" w:rsidP="00827A41">
      <w:pPr>
        <w:spacing w:after="0"/>
        <w:rPr>
          <w:rFonts w:eastAsiaTheme="minorEastAsia" w:cs="Arial"/>
          <w:szCs w:val="24"/>
          <w:lang w:val="es-ES_tradnl" w:eastAsia="es-ES"/>
        </w:rPr>
      </w:pPr>
    </w:p>
    <w:p w14:paraId="72673FA6" w14:textId="77777777" w:rsidR="00827A41" w:rsidRPr="008F3AB1" w:rsidRDefault="00827A41" w:rsidP="00827A41">
      <w:pPr>
        <w:spacing w:after="0"/>
        <w:rPr>
          <w:rFonts w:eastAsiaTheme="minorEastAsia" w:cs="Arial"/>
          <w:szCs w:val="24"/>
          <w:lang w:val="es-ES_tradnl" w:eastAsia="es-ES"/>
        </w:rPr>
      </w:pPr>
      <w:r w:rsidRPr="008F3AB1">
        <w:rPr>
          <w:rFonts w:eastAsiaTheme="minorEastAsia" w:cs="Arial"/>
          <w:szCs w:val="24"/>
          <w:lang w:val="es-ES_tradnl" w:eastAsia="es-ES"/>
        </w:rPr>
        <w:t>Ministerio de Ambiente y Desarrollo Sostenible</w:t>
      </w:r>
    </w:p>
    <w:p w14:paraId="7E01B4D1" w14:textId="77777777" w:rsidR="00827A41" w:rsidRPr="008F3AB1" w:rsidRDefault="00827A41" w:rsidP="00827A41">
      <w:pPr>
        <w:spacing w:after="0"/>
        <w:rPr>
          <w:rFonts w:eastAsiaTheme="minorEastAsia" w:cs="Arial"/>
          <w:szCs w:val="24"/>
          <w:lang w:val="es-ES_tradnl" w:eastAsia="es-ES"/>
        </w:rPr>
      </w:pPr>
    </w:p>
    <w:p w14:paraId="2282BD53" w14:textId="77777777" w:rsidR="00827A41" w:rsidRPr="008F3AB1" w:rsidRDefault="00827A41" w:rsidP="00827A41">
      <w:pPr>
        <w:spacing w:after="0"/>
        <w:rPr>
          <w:rFonts w:eastAsiaTheme="minorEastAsia" w:cs="Arial"/>
          <w:b/>
          <w:bCs/>
          <w:szCs w:val="24"/>
          <w:lang w:val="es-ES_tradnl" w:eastAsia="es-ES"/>
        </w:rPr>
      </w:pPr>
      <w:r w:rsidRPr="008F3AB1">
        <w:rPr>
          <w:rFonts w:eastAsiaTheme="minorEastAsia" w:cs="Arial"/>
          <w:b/>
          <w:bCs/>
          <w:szCs w:val="24"/>
          <w:lang w:val="es-ES_tradnl" w:eastAsia="es-ES"/>
        </w:rPr>
        <w:t>Equipo de trabajo:</w:t>
      </w:r>
    </w:p>
    <w:p w14:paraId="0CA5D553" w14:textId="77777777" w:rsidR="00827A41" w:rsidRPr="008F3AB1" w:rsidRDefault="00827A41" w:rsidP="00827A41">
      <w:pPr>
        <w:spacing w:after="0"/>
        <w:rPr>
          <w:rFonts w:eastAsiaTheme="minorEastAsia" w:cs="Arial"/>
          <w:b/>
          <w:bCs/>
          <w:szCs w:val="24"/>
          <w:lang w:val="es-ES_tradnl" w:eastAsia="es-ES"/>
        </w:rPr>
      </w:pPr>
    </w:p>
    <w:p w14:paraId="50F57F28" w14:textId="77777777" w:rsidR="00827A41" w:rsidRPr="008F3AB1" w:rsidRDefault="00827A41" w:rsidP="00827A41">
      <w:pPr>
        <w:spacing w:after="0"/>
        <w:rPr>
          <w:rFonts w:eastAsiaTheme="minorEastAsia" w:cs="Arial"/>
          <w:b/>
          <w:bCs/>
          <w:szCs w:val="24"/>
          <w:lang w:val="es-ES_tradnl" w:eastAsia="es-ES"/>
        </w:rPr>
      </w:pPr>
      <w:r w:rsidRPr="008F3AB1">
        <w:rPr>
          <w:rFonts w:eastAsiaTheme="minorEastAsia" w:cs="Arial"/>
          <w:b/>
          <w:bCs/>
          <w:szCs w:val="24"/>
          <w:lang w:val="es-ES_tradnl" w:eastAsia="es-ES"/>
        </w:rPr>
        <w:t>Dirección de Ordenamiento Ambiental y Territorial y Sistema Nacional Ambiental - SINA</w:t>
      </w:r>
    </w:p>
    <w:p w14:paraId="751C0F99" w14:textId="77777777" w:rsidR="00827A41" w:rsidRPr="008F3AB1" w:rsidRDefault="00827A41" w:rsidP="00827A41">
      <w:pPr>
        <w:spacing w:after="0"/>
        <w:rPr>
          <w:rFonts w:eastAsiaTheme="minorEastAsia" w:cs="Arial"/>
          <w:szCs w:val="24"/>
          <w:lang w:val="es-ES_tradnl" w:eastAsia="es-ES"/>
        </w:rPr>
      </w:pPr>
      <w:r w:rsidRPr="008F3AB1">
        <w:rPr>
          <w:rFonts w:eastAsiaTheme="minorEastAsia" w:cs="Arial"/>
          <w:szCs w:val="24"/>
          <w:lang w:val="es-ES_tradnl" w:eastAsia="es-ES"/>
        </w:rPr>
        <w:t>Dalila Camelo Salamanca</w:t>
      </w:r>
    </w:p>
    <w:p w14:paraId="508F5A44" w14:textId="77777777" w:rsidR="00827A41" w:rsidRPr="008F3AB1" w:rsidRDefault="00827A41" w:rsidP="00827A41">
      <w:pPr>
        <w:spacing w:after="0"/>
        <w:rPr>
          <w:rFonts w:eastAsiaTheme="minorEastAsia" w:cs="Arial"/>
          <w:lang w:eastAsia="es-ES"/>
        </w:rPr>
      </w:pPr>
      <w:r w:rsidRPr="008F3AB1">
        <w:rPr>
          <w:rFonts w:eastAsiaTheme="minorEastAsia" w:cs="Arial"/>
          <w:lang w:eastAsia="es-ES"/>
        </w:rPr>
        <w:t xml:space="preserve">Laurieth Karina Palomino Florez </w:t>
      </w:r>
    </w:p>
    <w:p w14:paraId="2686BBF2" w14:textId="77777777" w:rsidR="00827A41" w:rsidRPr="008F3AB1" w:rsidRDefault="00827A41" w:rsidP="00827A41">
      <w:pPr>
        <w:spacing w:after="0"/>
        <w:rPr>
          <w:rFonts w:eastAsiaTheme="minorEastAsia" w:cs="Arial"/>
          <w:szCs w:val="24"/>
          <w:lang w:val="es-ES_tradnl" w:eastAsia="es-ES"/>
        </w:rPr>
      </w:pPr>
      <w:r w:rsidRPr="008F3AB1">
        <w:rPr>
          <w:rFonts w:eastAsiaTheme="minorEastAsia" w:cs="Arial"/>
          <w:szCs w:val="24"/>
          <w:lang w:val="es-ES_tradnl" w:eastAsia="es-ES"/>
        </w:rPr>
        <w:t>Edna Rocío Vanegas Rodríguez</w:t>
      </w:r>
    </w:p>
    <w:p w14:paraId="19E4F335" w14:textId="77777777" w:rsidR="00827A41" w:rsidRPr="008F3AB1" w:rsidRDefault="00827A41" w:rsidP="00827A41">
      <w:pPr>
        <w:spacing w:after="0"/>
        <w:rPr>
          <w:rFonts w:cs="Arial"/>
        </w:rPr>
      </w:pPr>
      <w:r w:rsidRPr="008F3AB1">
        <w:rPr>
          <w:rFonts w:cs="Arial"/>
        </w:rPr>
        <w:t>Andrés Emilio Sequeda Pineda</w:t>
      </w:r>
    </w:p>
    <w:p w14:paraId="7F52E5E2" w14:textId="77777777" w:rsidR="00827A41" w:rsidRPr="008F3AB1" w:rsidRDefault="00827A41" w:rsidP="00827A41">
      <w:pPr>
        <w:spacing w:after="0"/>
        <w:rPr>
          <w:rFonts w:cs="Arial"/>
        </w:rPr>
      </w:pPr>
      <w:r w:rsidRPr="008F3AB1">
        <w:rPr>
          <w:rFonts w:cs="Arial"/>
        </w:rPr>
        <w:t>Julián David Peña Gómez</w:t>
      </w:r>
    </w:p>
    <w:p w14:paraId="2A4A00B2" w14:textId="77777777" w:rsidR="00827A41" w:rsidRPr="008F3AB1" w:rsidRDefault="00827A41" w:rsidP="00827A41">
      <w:pPr>
        <w:spacing w:after="0"/>
        <w:rPr>
          <w:rFonts w:eastAsiaTheme="minorEastAsia" w:cs="Arial"/>
          <w:szCs w:val="24"/>
          <w:lang w:val="es-ES_tradnl" w:eastAsia="es-ES"/>
        </w:rPr>
      </w:pPr>
    </w:p>
    <w:p w14:paraId="74096E39" w14:textId="08927103" w:rsidR="00827A41" w:rsidRPr="008F3AB1" w:rsidRDefault="00827A41" w:rsidP="00827A41">
      <w:pPr>
        <w:spacing w:after="0"/>
        <w:rPr>
          <w:rFonts w:cs="Arial"/>
          <w:b/>
          <w:bCs/>
        </w:rPr>
      </w:pPr>
      <w:r w:rsidRPr="008F3AB1">
        <w:rPr>
          <w:rFonts w:cs="Arial"/>
          <w:b/>
          <w:bCs/>
        </w:rPr>
        <w:t>Dirección de Asuntos Ambientales</w:t>
      </w:r>
      <w:r w:rsidR="00940B7F" w:rsidRPr="008F3AB1">
        <w:rPr>
          <w:rFonts w:cs="Arial"/>
          <w:b/>
          <w:bCs/>
        </w:rPr>
        <w:t>,</w:t>
      </w:r>
      <w:r w:rsidRPr="008F3AB1">
        <w:rPr>
          <w:rFonts w:cs="Arial"/>
          <w:b/>
          <w:bCs/>
        </w:rPr>
        <w:t xml:space="preserve"> Sectorial y Urbana:</w:t>
      </w:r>
    </w:p>
    <w:p w14:paraId="28D67E70" w14:textId="77777777" w:rsidR="00827A41" w:rsidRPr="008F3AB1" w:rsidRDefault="00827A41" w:rsidP="00827A41">
      <w:pPr>
        <w:spacing w:after="0"/>
        <w:rPr>
          <w:rFonts w:cs="Arial"/>
        </w:rPr>
      </w:pPr>
      <w:r w:rsidRPr="008F3AB1">
        <w:rPr>
          <w:rFonts w:cs="Arial"/>
        </w:rPr>
        <w:t>Hugo Alberto Sepúlveda Hernández</w:t>
      </w:r>
    </w:p>
    <w:p w14:paraId="47BD60BC" w14:textId="77777777" w:rsidR="00827A41" w:rsidRPr="008F3AB1" w:rsidRDefault="00827A41" w:rsidP="00827A41">
      <w:pPr>
        <w:spacing w:after="0"/>
        <w:rPr>
          <w:rFonts w:cs="Arial"/>
        </w:rPr>
      </w:pPr>
      <w:r w:rsidRPr="008F3AB1">
        <w:rPr>
          <w:rFonts w:cs="Arial"/>
        </w:rPr>
        <w:t>María José De la Ossa Humanez</w:t>
      </w:r>
    </w:p>
    <w:p w14:paraId="4734E22A" w14:textId="77777777" w:rsidR="00827A41" w:rsidRPr="008F3AB1" w:rsidRDefault="00827A41" w:rsidP="00827A41">
      <w:pPr>
        <w:spacing w:after="0"/>
        <w:rPr>
          <w:rFonts w:cs="Arial"/>
        </w:rPr>
      </w:pPr>
    </w:p>
    <w:p w14:paraId="52D5453D" w14:textId="77777777" w:rsidR="00827A41" w:rsidRPr="008F3AB1" w:rsidRDefault="00827A41" w:rsidP="00827A41">
      <w:pPr>
        <w:spacing w:after="0"/>
        <w:rPr>
          <w:rFonts w:cs="Arial"/>
          <w:b/>
          <w:bCs/>
        </w:rPr>
      </w:pPr>
      <w:r w:rsidRPr="008F3AB1">
        <w:rPr>
          <w:rFonts w:cs="Arial"/>
          <w:b/>
          <w:bCs/>
        </w:rPr>
        <w:t>Dirección de Bosques Biodiversidad y Servicios Ecosistémicos:</w:t>
      </w:r>
    </w:p>
    <w:p w14:paraId="5ACE2926" w14:textId="77777777" w:rsidR="00827A41" w:rsidRPr="008F3AB1" w:rsidRDefault="00827A41" w:rsidP="00827A41">
      <w:pPr>
        <w:spacing w:after="0"/>
        <w:rPr>
          <w:rFonts w:cs="Arial"/>
          <w:lang w:val="pt-PT"/>
        </w:rPr>
      </w:pPr>
      <w:r w:rsidRPr="008F3AB1">
        <w:rPr>
          <w:rFonts w:cs="Arial"/>
          <w:lang w:val="pt-PT"/>
        </w:rPr>
        <w:t>Sandra Carolina Díaz Mesa</w:t>
      </w:r>
    </w:p>
    <w:p w14:paraId="320D778A" w14:textId="77777777" w:rsidR="00827A41" w:rsidRPr="008F3AB1" w:rsidRDefault="00827A41" w:rsidP="00827A41">
      <w:pPr>
        <w:spacing w:after="0"/>
        <w:rPr>
          <w:rFonts w:cs="Arial"/>
          <w:lang w:val="pt-PT"/>
        </w:rPr>
      </w:pPr>
      <w:r w:rsidRPr="008F3AB1">
        <w:rPr>
          <w:rFonts w:cs="Arial"/>
          <w:lang w:val="pt-PT"/>
        </w:rPr>
        <w:t>Jorge Francisco Velandia Ramos</w:t>
      </w:r>
    </w:p>
    <w:p w14:paraId="49AFAFB7" w14:textId="77777777" w:rsidR="00827A41" w:rsidRPr="008F3AB1" w:rsidRDefault="00827A41" w:rsidP="00827A41">
      <w:pPr>
        <w:spacing w:after="0"/>
        <w:rPr>
          <w:rFonts w:cs="Arial"/>
          <w:lang w:val="pt-PT"/>
        </w:rPr>
      </w:pPr>
    </w:p>
    <w:p w14:paraId="73F4DD5D" w14:textId="77777777" w:rsidR="00827A41" w:rsidRPr="008F3AB1" w:rsidRDefault="00827A41" w:rsidP="00827A41">
      <w:pPr>
        <w:spacing w:after="0"/>
        <w:rPr>
          <w:rFonts w:cs="Arial"/>
          <w:b/>
          <w:bCs/>
        </w:rPr>
      </w:pPr>
      <w:r w:rsidRPr="008F3AB1">
        <w:rPr>
          <w:rFonts w:cs="Arial"/>
          <w:b/>
          <w:bCs/>
        </w:rPr>
        <w:t>Dirección de Cambio Climático y Gestión del Riesgo</w:t>
      </w:r>
    </w:p>
    <w:p w14:paraId="13DD297B" w14:textId="77777777" w:rsidR="00827A41" w:rsidRPr="008F3AB1" w:rsidRDefault="00827A41" w:rsidP="00827A41">
      <w:pPr>
        <w:spacing w:after="0"/>
        <w:rPr>
          <w:rFonts w:cs="Arial"/>
        </w:rPr>
      </w:pPr>
      <w:r w:rsidRPr="008F3AB1">
        <w:rPr>
          <w:rFonts w:cs="Arial"/>
        </w:rPr>
        <w:t>Blanca Cecilia Medina</w:t>
      </w:r>
    </w:p>
    <w:p w14:paraId="268D0E5B" w14:textId="77777777" w:rsidR="00827A41" w:rsidRPr="008F3AB1" w:rsidRDefault="00827A41" w:rsidP="00827A41">
      <w:pPr>
        <w:spacing w:after="0"/>
        <w:rPr>
          <w:rFonts w:cs="Arial"/>
        </w:rPr>
      </w:pPr>
    </w:p>
    <w:p w14:paraId="0C6C7528" w14:textId="77777777" w:rsidR="00827A41" w:rsidRPr="008F3AB1" w:rsidRDefault="00827A41" w:rsidP="00827A41">
      <w:pPr>
        <w:spacing w:after="0"/>
        <w:rPr>
          <w:rFonts w:cs="Arial"/>
        </w:rPr>
      </w:pPr>
      <w:r w:rsidRPr="008F3AB1">
        <w:rPr>
          <w:rFonts w:cs="Arial"/>
          <w:b/>
        </w:rPr>
        <w:t>Dirección de Gestión Integral del Recurso Hídrico</w:t>
      </w:r>
    </w:p>
    <w:p w14:paraId="37D72692" w14:textId="77777777" w:rsidR="00827A41" w:rsidRPr="008F3AB1" w:rsidRDefault="00827A41" w:rsidP="00827A41">
      <w:pPr>
        <w:spacing w:after="0"/>
        <w:rPr>
          <w:rFonts w:cs="Arial"/>
        </w:rPr>
      </w:pPr>
      <w:r w:rsidRPr="008F3AB1">
        <w:rPr>
          <w:rFonts w:cs="Arial"/>
        </w:rPr>
        <w:t>Claudia Liliana Buitrago Aguirre</w:t>
      </w:r>
    </w:p>
    <w:p w14:paraId="25496999" w14:textId="77777777" w:rsidR="00827A41" w:rsidRPr="008F3AB1" w:rsidRDefault="00827A41" w:rsidP="00827A41">
      <w:pPr>
        <w:spacing w:after="0"/>
        <w:textAlignment w:val="baseline"/>
        <w:rPr>
          <w:rFonts w:eastAsia="Times New Roman" w:cs="Arial"/>
          <w:sz w:val="18"/>
          <w:szCs w:val="18"/>
          <w:lang w:eastAsia="zh-CN"/>
        </w:rPr>
      </w:pPr>
    </w:p>
    <w:p w14:paraId="0C64C8FC" w14:textId="77777777" w:rsidR="00827A41" w:rsidRPr="008F3AB1" w:rsidRDefault="00827A41" w:rsidP="00827A41">
      <w:pPr>
        <w:spacing w:after="0"/>
        <w:rPr>
          <w:rFonts w:eastAsiaTheme="minorEastAsia" w:cs="Arial"/>
          <w:szCs w:val="24"/>
          <w:lang w:val="es-ES_tradnl" w:eastAsia="es-ES"/>
        </w:rPr>
      </w:pPr>
      <w:r w:rsidRPr="008F3AB1">
        <w:rPr>
          <w:rFonts w:eastAsiaTheme="minorEastAsia" w:cs="Arial"/>
          <w:szCs w:val="24"/>
          <w:lang w:val="es-ES_tradnl" w:eastAsia="es-ES"/>
        </w:rPr>
        <w:t>Revisión y aprobación:</w:t>
      </w:r>
    </w:p>
    <w:p w14:paraId="117F1A15" w14:textId="77777777" w:rsidR="00827A41" w:rsidRPr="008F3AB1" w:rsidRDefault="00827A41" w:rsidP="00827A41">
      <w:pPr>
        <w:spacing w:after="0"/>
        <w:rPr>
          <w:rFonts w:eastAsiaTheme="minorEastAsia" w:cs="Arial"/>
          <w:szCs w:val="24"/>
          <w:lang w:val="es-ES_tradnl" w:eastAsia="es-ES"/>
        </w:rPr>
      </w:pPr>
    </w:p>
    <w:p w14:paraId="54184363" w14:textId="77777777" w:rsidR="00827A41" w:rsidRPr="008F3AB1" w:rsidRDefault="00827A41" w:rsidP="00827A41">
      <w:pPr>
        <w:spacing w:after="0"/>
        <w:rPr>
          <w:rFonts w:cs="Arial"/>
        </w:rPr>
      </w:pPr>
      <w:r w:rsidRPr="008F3AB1">
        <w:rPr>
          <w:rFonts w:cs="Arial"/>
        </w:rPr>
        <w:t>Julián David Peña Gómez – Director de Ordenamiento Ambiental Territorial y Coordinación del SINA</w:t>
      </w:r>
    </w:p>
    <w:p w14:paraId="41DE09CD" w14:textId="77777777" w:rsidR="00827A41" w:rsidRPr="008F3AB1" w:rsidRDefault="00827A41" w:rsidP="00827A41">
      <w:pPr>
        <w:spacing w:after="0"/>
        <w:rPr>
          <w:rFonts w:cs="Arial"/>
        </w:rPr>
      </w:pPr>
    </w:p>
    <w:p w14:paraId="7E2AD955" w14:textId="77777777" w:rsidR="00827A41" w:rsidRPr="008F3AB1" w:rsidRDefault="00827A41" w:rsidP="00827A41">
      <w:pPr>
        <w:spacing w:after="0"/>
        <w:rPr>
          <w:rFonts w:cs="Arial"/>
        </w:rPr>
      </w:pPr>
      <w:r w:rsidRPr="008F3AB1">
        <w:rPr>
          <w:rFonts w:cs="Arial"/>
        </w:rPr>
        <w:t>Yiovany Palechor Mopan – Director de Asuntos Ambientales Sectorial y Urbana</w:t>
      </w:r>
    </w:p>
    <w:p w14:paraId="4CE0863E" w14:textId="77777777" w:rsidR="00827A41" w:rsidRPr="008F3AB1" w:rsidRDefault="00827A41" w:rsidP="00827A41">
      <w:pPr>
        <w:spacing w:before="240" w:after="240"/>
        <w:rPr>
          <w:rFonts w:eastAsia="Arial" w:cs="Arial"/>
          <w:color w:val="000000" w:themeColor="text1"/>
        </w:rPr>
      </w:pPr>
      <w:r w:rsidRPr="008F3AB1">
        <w:rPr>
          <w:rFonts w:eastAsia="Arial" w:cs="Arial"/>
          <w:color w:val="000000" w:themeColor="text1"/>
        </w:rPr>
        <w:t xml:space="preserve">Natalia Ramirez Martinez – Directora de Bosques, Biodiversidad y Servicios Ecosistémicos </w:t>
      </w:r>
    </w:p>
    <w:p w14:paraId="5C8AD5CF" w14:textId="77777777" w:rsidR="00827A41" w:rsidRPr="008F3AB1" w:rsidRDefault="00827A41" w:rsidP="00827A41">
      <w:pPr>
        <w:spacing w:before="240" w:after="240"/>
        <w:rPr>
          <w:rFonts w:cs="Arial"/>
          <w:color w:val="000000" w:themeColor="text1"/>
        </w:rPr>
      </w:pPr>
      <w:r w:rsidRPr="008F3AB1">
        <w:rPr>
          <w:rFonts w:eastAsia="Arial" w:cs="Arial"/>
          <w:color w:val="000000" w:themeColor="text1"/>
        </w:rPr>
        <w:t xml:space="preserve">Carmen Stibel Duarte Torres </w:t>
      </w:r>
      <w:r w:rsidRPr="008F3AB1">
        <w:rPr>
          <w:rFonts w:cs="Arial"/>
          <w:color w:val="000000" w:themeColor="text1"/>
        </w:rPr>
        <w:t xml:space="preserve"> – Directora de Cambio Climático y Gestión del Riesgo </w:t>
      </w:r>
    </w:p>
    <w:p w14:paraId="55394582" w14:textId="77777777" w:rsidR="00827A41" w:rsidRPr="008F3AB1" w:rsidRDefault="00827A41" w:rsidP="00827A41">
      <w:pPr>
        <w:spacing w:before="240" w:after="240"/>
        <w:rPr>
          <w:rFonts w:cs="Arial"/>
          <w:color w:val="000000" w:themeColor="text1"/>
        </w:rPr>
      </w:pPr>
      <w:r w:rsidRPr="008F3AB1">
        <w:rPr>
          <w:rFonts w:cs="Arial"/>
          <w:color w:val="000000" w:themeColor="text1"/>
        </w:rPr>
        <w:t>Oscar Francisco Puerta Luchini – Director de Gestión Integral del Recurso Hídrico</w:t>
      </w:r>
    </w:p>
    <w:p w14:paraId="112C67DE" w14:textId="77777777" w:rsidR="00827A41" w:rsidRPr="008F3AB1" w:rsidRDefault="00827A41" w:rsidP="00827A41">
      <w:pPr>
        <w:spacing w:after="0"/>
        <w:rPr>
          <w:rFonts w:eastAsiaTheme="minorEastAsia" w:cs="Arial"/>
          <w:szCs w:val="24"/>
          <w:lang w:val="es-ES_tradnl" w:eastAsia="es-ES"/>
        </w:rPr>
      </w:pPr>
    </w:p>
    <w:p w14:paraId="6F9968BE" w14:textId="77777777" w:rsidR="00827A41" w:rsidRPr="008F3AB1" w:rsidRDefault="00827A41" w:rsidP="00827A41">
      <w:pPr>
        <w:pStyle w:val="Default"/>
        <w:jc w:val="both"/>
        <w:rPr>
          <w:sz w:val="22"/>
          <w:lang w:val="es-ES_tradnl"/>
        </w:rPr>
      </w:pPr>
      <w:r w:rsidRPr="008F3AB1">
        <w:rPr>
          <w:rFonts w:eastAsiaTheme="minorEastAsia"/>
          <w:sz w:val="22"/>
          <w:szCs w:val="22"/>
          <w:lang w:val="es-ES_tradnl" w:eastAsia="es-ES"/>
        </w:rPr>
        <w:t>Octubre de 2025,</w:t>
      </w:r>
      <w:r w:rsidRPr="008F3AB1">
        <w:rPr>
          <w:sz w:val="22"/>
          <w:lang w:val="es-ES_tradnl"/>
        </w:rPr>
        <w:t xml:space="preserve"> Bogotá D.C.</w:t>
      </w:r>
    </w:p>
    <w:p w14:paraId="6B542A98" w14:textId="77777777" w:rsidR="00827A41" w:rsidRPr="008F3AB1" w:rsidRDefault="00827A41" w:rsidP="00827A41">
      <w:pPr>
        <w:pStyle w:val="Default"/>
        <w:jc w:val="both"/>
        <w:rPr>
          <w:rFonts w:eastAsiaTheme="minorEastAsia"/>
          <w:lang w:val="es-ES_tradnl" w:eastAsia="es-ES"/>
        </w:rPr>
      </w:pPr>
    </w:p>
    <w:p w14:paraId="16F306E0" w14:textId="77777777" w:rsidR="00827A41" w:rsidRPr="008F3AB1" w:rsidRDefault="00827A41" w:rsidP="00827A41">
      <w:pPr>
        <w:pStyle w:val="Default"/>
        <w:jc w:val="both"/>
        <w:rPr>
          <w:rFonts w:eastAsiaTheme="minorEastAsia"/>
          <w:lang w:val="es-ES_tradnl" w:eastAsia="es-ES"/>
        </w:rPr>
      </w:pPr>
    </w:p>
    <w:p w14:paraId="1D54E3D1" w14:textId="6A423D07" w:rsidR="00827A41" w:rsidRPr="008F3AB1" w:rsidRDefault="00615B35" w:rsidP="00827A41">
      <w:pPr>
        <w:spacing w:line="259" w:lineRule="auto"/>
        <w:jc w:val="left"/>
        <w:rPr>
          <w:rFonts w:cs="Arial"/>
          <w:b/>
          <w:sz w:val="24"/>
          <w:lang w:val="es-ES_tradnl" w:eastAsia="es-ES"/>
        </w:rPr>
      </w:pPr>
      <w:r w:rsidRPr="008F3AB1">
        <w:rPr>
          <w:rFonts w:cs="Arial"/>
          <w:b/>
          <w:sz w:val="24"/>
          <w:lang w:val="es-ES_tradnl" w:eastAsia="es-ES"/>
        </w:rPr>
        <w:lastRenderedPageBreak/>
        <w:t>T</w:t>
      </w:r>
      <w:r w:rsidR="00827A41" w:rsidRPr="008F3AB1">
        <w:rPr>
          <w:rFonts w:cs="Arial"/>
          <w:b/>
          <w:sz w:val="24"/>
          <w:lang w:val="es-ES_tradnl" w:eastAsia="es-ES"/>
        </w:rPr>
        <w:t>ABLA DE CONTENIDO</w:t>
      </w:r>
    </w:p>
    <w:sdt>
      <w:sdtPr>
        <w:rPr>
          <w:rFonts w:ascii="Arial" w:eastAsiaTheme="minorEastAsia" w:hAnsi="Arial" w:cs="Arial"/>
          <w:color w:val="auto"/>
          <w:sz w:val="22"/>
          <w:szCs w:val="22"/>
          <w:lang w:val="es-ES" w:eastAsia="en-US"/>
        </w:rPr>
        <w:id w:val="89434223"/>
        <w:docPartObj>
          <w:docPartGallery w:val="Table of Contents"/>
          <w:docPartUnique/>
        </w:docPartObj>
      </w:sdtPr>
      <w:sdtEndPr>
        <w:rPr>
          <w:b/>
          <w:bCs/>
          <w:lang w:val="es-CO"/>
        </w:rPr>
      </w:sdtEndPr>
      <w:sdtContent>
        <w:p w14:paraId="5CB4998C" w14:textId="77777777" w:rsidR="00827A41" w:rsidRPr="008F3AB1" w:rsidRDefault="00827A41" w:rsidP="00827A41">
          <w:pPr>
            <w:pStyle w:val="TtuloTDC"/>
            <w:rPr>
              <w:rFonts w:ascii="Arial" w:hAnsi="Arial" w:cs="Arial"/>
              <w:sz w:val="22"/>
              <w:szCs w:val="22"/>
            </w:rPr>
          </w:pPr>
        </w:p>
        <w:p w14:paraId="651558BC" w14:textId="7E239D1C" w:rsidR="00226F4A" w:rsidRPr="008F3AB1" w:rsidRDefault="00827A41">
          <w:pPr>
            <w:pStyle w:val="TDC1"/>
            <w:tabs>
              <w:tab w:val="left" w:pos="440"/>
              <w:tab w:val="right" w:leader="dot" w:pos="8828"/>
            </w:tabs>
            <w:rPr>
              <w:rFonts w:ascii="Arial" w:eastAsiaTheme="minorEastAsia" w:hAnsi="Arial" w:cs="Arial"/>
              <w:b w:val="0"/>
              <w:bCs w:val="0"/>
              <w:noProof/>
              <w:sz w:val="22"/>
              <w:szCs w:val="22"/>
            </w:rPr>
          </w:pPr>
          <w:r w:rsidRPr="008F3AB1">
            <w:rPr>
              <w:rFonts w:ascii="Arial" w:hAnsi="Arial" w:cs="Arial"/>
              <w:sz w:val="22"/>
              <w:szCs w:val="22"/>
              <w:lang w:val="es-CO"/>
            </w:rPr>
            <w:fldChar w:fldCharType="begin"/>
          </w:r>
          <w:r w:rsidRPr="008F3AB1">
            <w:rPr>
              <w:rFonts w:ascii="Arial" w:hAnsi="Arial" w:cs="Arial"/>
              <w:sz w:val="22"/>
              <w:szCs w:val="22"/>
            </w:rPr>
            <w:instrText xml:space="preserve"> TOC \o "1-3" \h \z \u </w:instrText>
          </w:r>
          <w:r w:rsidRPr="008F3AB1">
            <w:rPr>
              <w:rFonts w:ascii="Arial" w:hAnsi="Arial" w:cs="Arial"/>
              <w:sz w:val="22"/>
              <w:szCs w:val="22"/>
              <w:lang w:val="es-CO"/>
            </w:rPr>
            <w:fldChar w:fldCharType="separate"/>
          </w:r>
          <w:hyperlink w:anchor="_Toc211877952" w:history="1">
            <w:r w:rsidR="00226F4A" w:rsidRPr="008F3AB1">
              <w:rPr>
                <w:rStyle w:val="Hipervnculo"/>
                <w:rFonts w:ascii="Arial" w:hAnsi="Arial" w:cs="Arial"/>
                <w:noProof/>
                <w:sz w:val="22"/>
                <w:szCs w:val="22"/>
                <w:lang w:val="es-ES_tradnl" w:eastAsia="es-ES"/>
              </w:rPr>
              <w:t>1.</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INTRODUCCIÓN</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_Toc211877952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6</w:t>
            </w:r>
            <w:r w:rsidR="00226F4A" w:rsidRPr="008F3AB1">
              <w:rPr>
                <w:rFonts w:ascii="Arial" w:hAnsi="Arial" w:cs="Arial"/>
                <w:noProof/>
                <w:webHidden/>
                <w:sz w:val="22"/>
                <w:szCs w:val="22"/>
              </w:rPr>
              <w:fldChar w:fldCharType="end"/>
            </w:r>
          </w:hyperlink>
        </w:p>
        <w:p w14:paraId="7EFA16B5" w14:textId="7990F664" w:rsidR="00226F4A" w:rsidRPr="008F3AB1" w:rsidRDefault="00CD7AEB">
          <w:pPr>
            <w:pStyle w:val="TDC1"/>
            <w:tabs>
              <w:tab w:val="left" w:pos="440"/>
              <w:tab w:val="right" w:leader="dot" w:pos="8828"/>
            </w:tabs>
            <w:rPr>
              <w:rFonts w:ascii="Arial" w:eastAsiaTheme="minorEastAsia" w:hAnsi="Arial" w:cs="Arial"/>
              <w:b w:val="0"/>
              <w:bCs w:val="0"/>
              <w:noProof/>
              <w:sz w:val="22"/>
              <w:szCs w:val="22"/>
            </w:rPr>
          </w:pPr>
          <w:hyperlink w:anchor="_Toc211877953" w:history="1">
            <w:r w:rsidR="00226F4A" w:rsidRPr="008F3AB1">
              <w:rPr>
                <w:rStyle w:val="Hipervnculo"/>
                <w:rFonts w:ascii="Arial" w:hAnsi="Arial" w:cs="Arial"/>
                <w:noProof/>
                <w:sz w:val="22"/>
                <w:szCs w:val="22"/>
                <w:lang w:val="es-ES_tradnl" w:eastAsia="es-ES"/>
              </w:rPr>
              <w:t>2.</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LINEAMIENTOS AMBIENTALES</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_Toc211877953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8</w:t>
            </w:r>
            <w:r w:rsidR="00226F4A" w:rsidRPr="008F3AB1">
              <w:rPr>
                <w:rFonts w:ascii="Arial" w:hAnsi="Arial" w:cs="Arial"/>
                <w:noProof/>
                <w:webHidden/>
                <w:sz w:val="22"/>
                <w:szCs w:val="22"/>
              </w:rPr>
              <w:fldChar w:fldCharType="end"/>
            </w:r>
          </w:hyperlink>
        </w:p>
        <w:p w14:paraId="5B462BF7" w14:textId="534D1A61" w:rsidR="00226F4A" w:rsidRPr="008F3AB1" w:rsidRDefault="00CD7AEB">
          <w:pPr>
            <w:pStyle w:val="TDC1"/>
            <w:tabs>
              <w:tab w:val="left" w:pos="660"/>
              <w:tab w:val="right" w:leader="dot" w:pos="8828"/>
            </w:tabs>
            <w:rPr>
              <w:rFonts w:ascii="Arial" w:eastAsiaTheme="minorEastAsia" w:hAnsi="Arial" w:cs="Arial"/>
              <w:b w:val="0"/>
              <w:bCs w:val="0"/>
              <w:noProof/>
              <w:sz w:val="22"/>
              <w:szCs w:val="22"/>
            </w:rPr>
          </w:pPr>
          <w:hyperlink w:anchor="_Toc211877954" w:history="1">
            <w:r w:rsidR="00226F4A" w:rsidRPr="008F3AB1">
              <w:rPr>
                <w:rStyle w:val="Hipervnculo"/>
                <w:rFonts w:ascii="Arial" w:hAnsi="Arial" w:cs="Arial"/>
                <w:noProof/>
                <w:sz w:val="22"/>
                <w:szCs w:val="22"/>
                <w:lang w:val="es-ES_tradnl" w:eastAsia="es-ES"/>
              </w:rPr>
              <w:t>2.1.</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OBJETIVO DE LOS LINEAMIENTOS</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_Toc211877954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8</w:t>
            </w:r>
            <w:r w:rsidR="00226F4A" w:rsidRPr="008F3AB1">
              <w:rPr>
                <w:rFonts w:ascii="Arial" w:hAnsi="Arial" w:cs="Arial"/>
                <w:noProof/>
                <w:webHidden/>
                <w:sz w:val="22"/>
                <w:szCs w:val="22"/>
              </w:rPr>
              <w:fldChar w:fldCharType="end"/>
            </w:r>
          </w:hyperlink>
        </w:p>
        <w:p w14:paraId="2E1199A5" w14:textId="2579C96D" w:rsidR="00226F4A" w:rsidRPr="008F3AB1" w:rsidRDefault="00CD7AEB">
          <w:pPr>
            <w:pStyle w:val="TDC1"/>
            <w:tabs>
              <w:tab w:val="left" w:pos="660"/>
              <w:tab w:val="right" w:leader="dot" w:pos="8828"/>
            </w:tabs>
            <w:rPr>
              <w:rFonts w:ascii="Arial" w:eastAsiaTheme="minorEastAsia" w:hAnsi="Arial" w:cs="Arial"/>
              <w:b w:val="0"/>
              <w:bCs w:val="0"/>
              <w:noProof/>
              <w:sz w:val="22"/>
              <w:szCs w:val="22"/>
            </w:rPr>
          </w:pPr>
          <w:hyperlink w:anchor="_Toc211877955" w:history="1">
            <w:r w:rsidR="00226F4A" w:rsidRPr="008F3AB1">
              <w:rPr>
                <w:rStyle w:val="Hipervnculo"/>
                <w:rFonts w:ascii="Arial" w:hAnsi="Arial" w:cs="Arial"/>
                <w:noProof/>
                <w:sz w:val="22"/>
                <w:szCs w:val="22"/>
                <w:lang w:val="es-ES_tradnl" w:eastAsia="es-ES"/>
              </w:rPr>
              <w:t>2.2.</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 xml:space="preserve">PRINCIPIOS RECTORES </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_Toc211877955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8</w:t>
            </w:r>
            <w:r w:rsidR="00226F4A" w:rsidRPr="008F3AB1">
              <w:rPr>
                <w:rFonts w:ascii="Arial" w:hAnsi="Arial" w:cs="Arial"/>
                <w:noProof/>
                <w:webHidden/>
                <w:sz w:val="22"/>
                <w:szCs w:val="22"/>
              </w:rPr>
              <w:fldChar w:fldCharType="end"/>
            </w:r>
          </w:hyperlink>
        </w:p>
        <w:p w14:paraId="74400C88" w14:textId="77FAE4D9" w:rsidR="00226F4A" w:rsidRPr="008F3AB1" w:rsidRDefault="00CD7AEB">
          <w:pPr>
            <w:pStyle w:val="TDC1"/>
            <w:tabs>
              <w:tab w:val="left" w:pos="660"/>
              <w:tab w:val="right" w:leader="dot" w:pos="8828"/>
            </w:tabs>
            <w:rPr>
              <w:rFonts w:ascii="Arial" w:eastAsiaTheme="minorEastAsia" w:hAnsi="Arial" w:cs="Arial"/>
              <w:b w:val="0"/>
              <w:bCs w:val="0"/>
              <w:noProof/>
              <w:sz w:val="22"/>
              <w:szCs w:val="22"/>
            </w:rPr>
          </w:pPr>
          <w:hyperlink w:anchor="_Toc211877956" w:history="1">
            <w:r w:rsidR="00226F4A" w:rsidRPr="008F3AB1">
              <w:rPr>
                <w:rStyle w:val="Hipervnculo"/>
                <w:rFonts w:ascii="Arial" w:hAnsi="Arial" w:cs="Arial"/>
                <w:noProof/>
                <w:sz w:val="22"/>
                <w:szCs w:val="22"/>
                <w:lang w:val="es-ES_tradnl" w:eastAsia="es-ES"/>
              </w:rPr>
              <w:t>2.3.</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ÁMBITO DE APLICACIÓN DE LOS LINEAMIENTOS</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_Toc211877956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9</w:t>
            </w:r>
            <w:r w:rsidR="00226F4A" w:rsidRPr="008F3AB1">
              <w:rPr>
                <w:rFonts w:ascii="Arial" w:hAnsi="Arial" w:cs="Arial"/>
                <w:noProof/>
                <w:webHidden/>
                <w:sz w:val="22"/>
                <w:szCs w:val="22"/>
              </w:rPr>
              <w:fldChar w:fldCharType="end"/>
            </w:r>
          </w:hyperlink>
        </w:p>
        <w:p w14:paraId="582DA315" w14:textId="080DB88C" w:rsidR="00226F4A" w:rsidRPr="008F3AB1" w:rsidRDefault="00CD7AEB">
          <w:pPr>
            <w:pStyle w:val="TDC1"/>
            <w:tabs>
              <w:tab w:val="left" w:pos="660"/>
              <w:tab w:val="right" w:leader="dot" w:pos="8828"/>
            </w:tabs>
            <w:rPr>
              <w:rFonts w:ascii="Arial" w:eastAsiaTheme="minorEastAsia" w:hAnsi="Arial" w:cs="Arial"/>
              <w:b w:val="0"/>
              <w:bCs w:val="0"/>
              <w:noProof/>
              <w:sz w:val="22"/>
              <w:szCs w:val="22"/>
            </w:rPr>
          </w:pPr>
          <w:hyperlink w:anchor="_Toc211877957" w:history="1">
            <w:r w:rsidR="00226F4A" w:rsidRPr="008F3AB1">
              <w:rPr>
                <w:rStyle w:val="Hipervnculo"/>
                <w:rFonts w:ascii="Arial" w:hAnsi="Arial" w:cs="Arial"/>
                <w:noProof/>
                <w:sz w:val="22"/>
                <w:szCs w:val="22"/>
                <w:lang w:val="es-ES_tradnl" w:eastAsia="es-ES"/>
              </w:rPr>
              <w:t>2.4.</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CONSIDERACIONES RELACIONADAS CON EL ORDENAMIENTO TERRITORIAL Y EL ORDENAMIENTO AMBIENTAL</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_Toc211877957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10</w:t>
            </w:r>
            <w:r w:rsidR="00226F4A" w:rsidRPr="008F3AB1">
              <w:rPr>
                <w:rFonts w:ascii="Arial" w:hAnsi="Arial" w:cs="Arial"/>
                <w:noProof/>
                <w:webHidden/>
                <w:sz w:val="22"/>
                <w:szCs w:val="22"/>
              </w:rPr>
              <w:fldChar w:fldCharType="end"/>
            </w:r>
          </w:hyperlink>
        </w:p>
        <w:p w14:paraId="69D64933" w14:textId="5F6C3C7B"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58" w:history="1">
            <w:r w:rsidR="00226F4A" w:rsidRPr="008F3AB1">
              <w:rPr>
                <w:rStyle w:val="Hipervnculo"/>
                <w:rFonts w:ascii="Arial" w:hAnsi="Arial" w:cs="Arial"/>
                <w:noProof/>
                <w:sz w:val="22"/>
                <w:szCs w:val="22"/>
                <w:lang w:val="es-ES_tradnl" w:eastAsia="es-ES"/>
              </w:rPr>
              <w:t>2.4.1.</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Consideraciones sobre la producción de aguacate en las áreas de reserva forestal, establecidas mediante la Ley 2ª de 1959</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_Toc211877958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14</w:t>
            </w:r>
            <w:r w:rsidR="00226F4A" w:rsidRPr="008F3AB1">
              <w:rPr>
                <w:rFonts w:ascii="Arial" w:hAnsi="Arial" w:cs="Arial"/>
                <w:noProof/>
                <w:webHidden/>
                <w:sz w:val="22"/>
                <w:szCs w:val="22"/>
              </w:rPr>
              <w:fldChar w:fldCharType="end"/>
            </w:r>
          </w:hyperlink>
        </w:p>
        <w:p w14:paraId="5CC30AEF" w14:textId="4732FFD0"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59" w:history="1">
            <w:r w:rsidR="00226F4A" w:rsidRPr="008F3AB1">
              <w:rPr>
                <w:rStyle w:val="Hipervnculo"/>
                <w:rFonts w:ascii="Arial" w:hAnsi="Arial" w:cs="Arial"/>
                <w:noProof/>
                <w:sz w:val="22"/>
                <w:szCs w:val="22"/>
                <w:lang w:val="es-ES_tradnl" w:eastAsia="es-ES"/>
              </w:rPr>
              <w:t>2.4.2.</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Otros aspectos por considerar con respecto a la zonificación y el ordenamiento ambiental</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_Toc211877959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16</w:t>
            </w:r>
            <w:r w:rsidR="00226F4A" w:rsidRPr="008F3AB1">
              <w:rPr>
                <w:rFonts w:ascii="Arial" w:hAnsi="Arial" w:cs="Arial"/>
                <w:noProof/>
                <w:webHidden/>
                <w:sz w:val="22"/>
                <w:szCs w:val="22"/>
              </w:rPr>
              <w:fldChar w:fldCharType="end"/>
            </w:r>
          </w:hyperlink>
        </w:p>
        <w:p w14:paraId="418751C2" w14:textId="7461FABA" w:rsidR="00226F4A" w:rsidRPr="008F3AB1" w:rsidRDefault="00CD7AEB">
          <w:pPr>
            <w:pStyle w:val="TDC1"/>
            <w:tabs>
              <w:tab w:val="left" w:pos="660"/>
              <w:tab w:val="right" w:leader="dot" w:pos="8828"/>
            </w:tabs>
            <w:rPr>
              <w:rFonts w:ascii="Arial" w:eastAsiaTheme="minorEastAsia" w:hAnsi="Arial" w:cs="Arial"/>
              <w:b w:val="0"/>
              <w:bCs w:val="0"/>
              <w:noProof/>
              <w:sz w:val="22"/>
              <w:szCs w:val="22"/>
            </w:rPr>
          </w:pPr>
          <w:hyperlink w:anchor="_Toc211877960" w:history="1">
            <w:r w:rsidR="00226F4A" w:rsidRPr="008F3AB1">
              <w:rPr>
                <w:rStyle w:val="Hipervnculo"/>
                <w:rFonts w:ascii="Arial" w:hAnsi="Arial" w:cs="Arial"/>
                <w:noProof/>
                <w:sz w:val="22"/>
                <w:szCs w:val="22"/>
                <w:lang w:val="es-ES_tradnl" w:eastAsia="es-ES"/>
              </w:rPr>
              <w:t>2.5.</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VERIFICACIÓN DE LAS ZONAS APTAS PARA EL CULTIVO</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_Toc211877960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17</w:t>
            </w:r>
            <w:r w:rsidR="00226F4A" w:rsidRPr="008F3AB1">
              <w:rPr>
                <w:rFonts w:ascii="Arial" w:hAnsi="Arial" w:cs="Arial"/>
                <w:noProof/>
                <w:webHidden/>
                <w:sz w:val="22"/>
                <w:szCs w:val="22"/>
              </w:rPr>
              <w:fldChar w:fldCharType="end"/>
            </w:r>
          </w:hyperlink>
        </w:p>
        <w:p w14:paraId="7F585EA2" w14:textId="3897A7D5"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61" w:history="1">
            <w:r w:rsidR="00226F4A" w:rsidRPr="008F3AB1">
              <w:rPr>
                <w:rStyle w:val="Hipervnculo"/>
                <w:rFonts w:ascii="Arial" w:hAnsi="Arial" w:cs="Arial"/>
                <w:noProof/>
                <w:sz w:val="22"/>
                <w:szCs w:val="22"/>
                <w:lang w:val="es-ES_tradnl" w:eastAsia="es-ES"/>
              </w:rPr>
              <w:t>2.5.1.</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Existencia de determinantes ambientales y compatibilidad del cultivo con el régimen de usos del suelo.</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_Toc211877961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17</w:t>
            </w:r>
            <w:r w:rsidR="00226F4A" w:rsidRPr="008F3AB1">
              <w:rPr>
                <w:rFonts w:ascii="Arial" w:hAnsi="Arial" w:cs="Arial"/>
                <w:noProof/>
                <w:webHidden/>
                <w:sz w:val="22"/>
                <w:szCs w:val="22"/>
              </w:rPr>
              <w:fldChar w:fldCharType="end"/>
            </w:r>
          </w:hyperlink>
        </w:p>
        <w:p w14:paraId="7C3360EA" w14:textId="4EABF6C8"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62" w:history="1">
            <w:r w:rsidR="00226F4A" w:rsidRPr="008F3AB1">
              <w:rPr>
                <w:rStyle w:val="Hipervnculo"/>
                <w:rFonts w:ascii="Arial" w:hAnsi="Arial" w:cs="Arial"/>
                <w:noProof/>
                <w:sz w:val="22"/>
                <w:szCs w:val="22"/>
                <w:lang w:val="es-ES_tradnl" w:eastAsia="es-ES"/>
              </w:rPr>
              <w:t>2.5.2.</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Requerimientos de disponibilidad de agua.</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_Toc211877962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19</w:t>
            </w:r>
            <w:r w:rsidR="00226F4A" w:rsidRPr="008F3AB1">
              <w:rPr>
                <w:rFonts w:ascii="Arial" w:hAnsi="Arial" w:cs="Arial"/>
                <w:noProof/>
                <w:webHidden/>
                <w:sz w:val="22"/>
                <w:szCs w:val="22"/>
              </w:rPr>
              <w:fldChar w:fldCharType="end"/>
            </w:r>
          </w:hyperlink>
        </w:p>
        <w:p w14:paraId="5A19D8C8" w14:textId="1D2F446F"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63" w:history="1">
            <w:r w:rsidR="00226F4A" w:rsidRPr="008F3AB1">
              <w:rPr>
                <w:rStyle w:val="Hipervnculo"/>
                <w:rFonts w:ascii="Arial" w:hAnsi="Arial" w:cs="Arial"/>
                <w:noProof/>
                <w:sz w:val="22"/>
                <w:szCs w:val="22"/>
                <w:lang w:val="es-ES_tradnl" w:eastAsia="es-ES"/>
              </w:rPr>
              <w:t>2.5.3.</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Protección de la biodiversidad</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_Toc211877963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21</w:t>
            </w:r>
            <w:r w:rsidR="00226F4A" w:rsidRPr="008F3AB1">
              <w:rPr>
                <w:rFonts w:ascii="Arial" w:hAnsi="Arial" w:cs="Arial"/>
                <w:noProof/>
                <w:webHidden/>
                <w:sz w:val="22"/>
                <w:szCs w:val="22"/>
              </w:rPr>
              <w:fldChar w:fldCharType="end"/>
            </w:r>
          </w:hyperlink>
        </w:p>
        <w:p w14:paraId="2C9E6087" w14:textId="7703BE56" w:rsidR="00226F4A" w:rsidRPr="008F3AB1" w:rsidRDefault="00CD7AEB">
          <w:pPr>
            <w:pStyle w:val="TDC1"/>
            <w:tabs>
              <w:tab w:val="left" w:pos="660"/>
              <w:tab w:val="right" w:leader="dot" w:pos="8828"/>
            </w:tabs>
            <w:rPr>
              <w:rFonts w:ascii="Arial" w:eastAsiaTheme="minorEastAsia" w:hAnsi="Arial" w:cs="Arial"/>
              <w:b w:val="0"/>
              <w:bCs w:val="0"/>
              <w:noProof/>
              <w:sz w:val="22"/>
              <w:szCs w:val="22"/>
            </w:rPr>
          </w:pPr>
          <w:hyperlink w:anchor="_Toc211877964" w:history="1">
            <w:r w:rsidR="00226F4A" w:rsidRPr="008F3AB1">
              <w:rPr>
                <w:rStyle w:val="Hipervnculo"/>
                <w:rFonts w:ascii="Arial" w:hAnsi="Arial" w:cs="Arial"/>
                <w:noProof/>
                <w:sz w:val="22"/>
                <w:szCs w:val="22"/>
                <w:lang w:val="es-ES_tradnl" w:eastAsia="es-ES"/>
              </w:rPr>
              <w:t>2.6.</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PERTINENCIA DEL OTORGAMIENTO DE PERMISOS AMBIENTALES.</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_Toc211877964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22</w:t>
            </w:r>
            <w:r w:rsidR="00226F4A" w:rsidRPr="008F3AB1">
              <w:rPr>
                <w:rFonts w:ascii="Arial" w:hAnsi="Arial" w:cs="Arial"/>
                <w:noProof/>
                <w:webHidden/>
                <w:sz w:val="22"/>
                <w:szCs w:val="22"/>
              </w:rPr>
              <w:fldChar w:fldCharType="end"/>
            </w:r>
          </w:hyperlink>
        </w:p>
        <w:p w14:paraId="52E9D5C9" w14:textId="05D0EE21" w:rsidR="00226F4A" w:rsidRPr="008F3AB1" w:rsidRDefault="00CD7AEB">
          <w:pPr>
            <w:pStyle w:val="TDC1"/>
            <w:tabs>
              <w:tab w:val="left" w:pos="660"/>
              <w:tab w:val="right" w:leader="dot" w:pos="8828"/>
            </w:tabs>
            <w:rPr>
              <w:rFonts w:ascii="Arial" w:eastAsiaTheme="minorEastAsia" w:hAnsi="Arial" w:cs="Arial"/>
              <w:b w:val="0"/>
              <w:bCs w:val="0"/>
              <w:noProof/>
              <w:sz w:val="22"/>
              <w:szCs w:val="22"/>
            </w:rPr>
          </w:pPr>
          <w:hyperlink w:anchor="_Toc211877965" w:history="1">
            <w:r w:rsidR="00226F4A" w:rsidRPr="008F3AB1">
              <w:rPr>
                <w:rStyle w:val="Hipervnculo"/>
                <w:rFonts w:ascii="Arial" w:hAnsi="Arial" w:cs="Arial"/>
                <w:noProof/>
                <w:sz w:val="22"/>
                <w:szCs w:val="22"/>
                <w:lang w:val="es-ES_tradnl" w:eastAsia="es-ES"/>
              </w:rPr>
              <w:t>2.7.</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DESARROLLO DE LOS LINEAMIENTOS AMBIENTALES</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_Toc211877965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24</w:t>
            </w:r>
            <w:r w:rsidR="00226F4A" w:rsidRPr="008F3AB1">
              <w:rPr>
                <w:rFonts w:ascii="Arial" w:hAnsi="Arial" w:cs="Arial"/>
                <w:noProof/>
                <w:webHidden/>
                <w:sz w:val="22"/>
                <w:szCs w:val="22"/>
              </w:rPr>
              <w:fldChar w:fldCharType="end"/>
            </w:r>
          </w:hyperlink>
        </w:p>
        <w:p w14:paraId="6FBB6971" w14:textId="72F62204"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66" w:history="1">
            <w:r w:rsidR="00226F4A" w:rsidRPr="008F3AB1">
              <w:rPr>
                <w:rStyle w:val="Hipervnculo"/>
                <w:rFonts w:ascii="Arial" w:hAnsi="Arial" w:cs="Arial"/>
                <w:noProof/>
                <w:sz w:val="22"/>
                <w:szCs w:val="22"/>
                <w:lang w:val="es-MX" w:eastAsia="es-ES"/>
              </w:rPr>
              <w:t>2.7.1.</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MX" w:eastAsia="es-ES"/>
              </w:rPr>
              <w:t>Lineamientos previos al establecimiento del cultivo.</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_Toc211877966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25</w:t>
            </w:r>
            <w:r w:rsidR="00226F4A" w:rsidRPr="008F3AB1">
              <w:rPr>
                <w:rFonts w:ascii="Arial" w:hAnsi="Arial" w:cs="Arial"/>
                <w:noProof/>
                <w:webHidden/>
                <w:sz w:val="22"/>
                <w:szCs w:val="22"/>
              </w:rPr>
              <w:fldChar w:fldCharType="end"/>
            </w:r>
          </w:hyperlink>
        </w:p>
        <w:p w14:paraId="03C903B3" w14:textId="0F286F19"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67" w:history="1">
            <w:r w:rsidR="00226F4A" w:rsidRPr="008F3AB1">
              <w:rPr>
                <w:rStyle w:val="Hipervnculo"/>
                <w:rFonts w:ascii="Arial" w:hAnsi="Arial" w:cs="Arial"/>
                <w:noProof/>
                <w:sz w:val="22"/>
                <w:szCs w:val="22"/>
                <w:lang w:val="es-ES_tradnl" w:eastAsia="es-ES"/>
              </w:rPr>
              <w:t>2.7.1.1.</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Áreas de exclusión y condicionantes</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_Toc211877967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25</w:t>
            </w:r>
            <w:r w:rsidR="00226F4A" w:rsidRPr="008F3AB1">
              <w:rPr>
                <w:rFonts w:ascii="Arial" w:hAnsi="Arial" w:cs="Arial"/>
                <w:noProof/>
                <w:webHidden/>
                <w:sz w:val="22"/>
                <w:szCs w:val="22"/>
              </w:rPr>
              <w:fldChar w:fldCharType="end"/>
            </w:r>
          </w:hyperlink>
        </w:p>
        <w:p w14:paraId="519F9004" w14:textId="0AF3CDB5" w:rsidR="00226F4A" w:rsidRPr="008F3AB1" w:rsidRDefault="00CD7AEB">
          <w:pPr>
            <w:pStyle w:val="TDC1"/>
            <w:tabs>
              <w:tab w:val="left" w:pos="440"/>
              <w:tab w:val="right" w:leader="dot" w:pos="8828"/>
            </w:tabs>
            <w:rPr>
              <w:rFonts w:ascii="Arial" w:eastAsiaTheme="minorEastAsia" w:hAnsi="Arial" w:cs="Arial"/>
              <w:b w:val="0"/>
              <w:bCs w:val="0"/>
              <w:noProof/>
              <w:sz w:val="22"/>
              <w:szCs w:val="22"/>
            </w:rPr>
          </w:pPr>
          <w:hyperlink w:anchor="_Toc211877968" w:history="1">
            <w:r w:rsidR="00226F4A" w:rsidRPr="008F3AB1">
              <w:rPr>
                <w:rStyle w:val="Hipervnculo"/>
                <w:rFonts w:ascii="Arial" w:hAnsi="Arial" w:cs="Arial"/>
                <w:noProof/>
                <w:sz w:val="22"/>
                <w:szCs w:val="22"/>
                <w:lang w:val="es-ES_tradnl" w:eastAsia="es-ES"/>
              </w:rPr>
              <w:t>o</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 xml:space="preserve">Áreas de exclusión. </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_Toc211877968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25</w:t>
            </w:r>
            <w:r w:rsidR="00226F4A" w:rsidRPr="008F3AB1">
              <w:rPr>
                <w:rFonts w:ascii="Arial" w:hAnsi="Arial" w:cs="Arial"/>
                <w:noProof/>
                <w:webHidden/>
                <w:sz w:val="22"/>
                <w:szCs w:val="22"/>
              </w:rPr>
              <w:fldChar w:fldCharType="end"/>
            </w:r>
          </w:hyperlink>
        </w:p>
        <w:p w14:paraId="7164C6D0" w14:textId="3FC3EEFA" w:rsidR="00226F4A" w:rsidRPr="008F3AB1" w:rsidRDefault="00CD7AEB">
          <w:pPr>
            <w:pStyle w:val="TDC1"/>
            <w:tabs>
              <w:tab w:val="left" w:pos="440"/>
              <w:tab w:val="right" w:leader="dot" w:pos="8828"/>
            </w:tabs>
            <w:rPr>
              <w:rFonts w:ascii="Arial" w:eastAsiaTheme="minorEastAsia" w:hAnsi="Arial" w:cs="Arial"/>
              <w:b w:val="0"/>
              <w:bCs w:val="0"/>
              <w:noProof/>
              <w:sz w:val="22"/>
              <w:szCs w:val="22"/>
            </w:rPr>
          </w:pPr>
          <w:hyperlink w:anchor="_Toc211877969" w:history="1">
            <w:r w:rsidR="00226F4A" w:rsidRPr="008F3AB1">
              <w:rPr>
                <w:rStyle w:val="Hipervnculo"/>
                <w:rFonts w:ascii="Arial" w:hAnsi="Arial" w:cs="Arial"/>
                <w:noProof/>
                <w:sz w:val="22"/>
                <w:szCs w:val="22"/>
                <w:lang w:val="es-ES_tradnl" w:eastAsia="es-ES"/>
              </w:rPr>
              <w:t>o</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 xml:space="preserve">Áreas con condicionantes </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_Toc211877969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25</w:t>
            </w:r>
            <w:r w:rsidR="00226F4A" w:rsidRPr="008F3AB1">
              <w:rPr>
                <w:rFonts w:ascii="Arial" w:hAnsi="Arial" w:cs="Arial"/>
                <w:noProof/>
                <w:webHidden/>
                <w:sz w:val="22"/>
                <w:szCs w:val="22"/>
              </w:rPr>
              <w:fldChar w:fldCharType="end"/>
            </w:r>
          </w:hyperlink>
        </w:p>
        <w:p w14:paraId="422BFFD7" w14:textId="13DAC747"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70" w:history="1">
            <w:r w:rsidR="00226F4A" w:rsidRPr="008F3AB1">
              <w:rPr>
                <w:rStyle w:val="Hipervnculo"/>
                <w:rFonts w:ascii="Arial" w:hAnsi="Arial" w:cs="Arial"/>
                <w:noProof/>
                <w:sz w:val="22"/>
                <w:szCs w:val="22"/>
                <w:lang w:val="es-MX" w:eastAsia="es-ES"/>
              </w:rPr>
              <w:t>2.7.2.</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MX" w:eastAsia="es-ES"/>
              </w:rPr>
              <w:t>Lineamientos durante la operación del cultivo.</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_Toc211877970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31</w:t>
            </w:r>
            <w:r w:rsidR="00226F4A" w:rsidRPr="008F3AB1">
              <w:rPr>
                <w:rFonts w:ascii="Arial" w:hAnsi="Arial" w:cs="Arial"/>
                <w:noProof/>
                <w:webHidden/>
                <w:sz w:val="22"/>
                <w:szCs w:val="22"/>
              </w:rPr>
              <w:fldChar w:fldCharType="end"/>
            </w:r>
          </w:hyperlink>
        </w:p>
        <w:p w14:paraId="2D02B2B3" w14:textId="0BE4F18B"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71" w:history="1">
            <w:r w:rsidR="00226F4A" w:rsidRPr="008F3AB1">
              <w:rPr>
                <w:rStyle w:val="Hipervnculo"/>
                <w:rFonts w:ascii="Arial" w:hAnsi="Arial" w:cs="Arial"/>
                <w:noProof/>
                <w:sz w:val="22"/>
                <w:szCs w:val="22"/>
                <w:lang w:val="es-MX" w:eastAsia="es-ES"/>
              </w:rPr>
              <w:t>2.7.2.1.</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MX" w:eastAsia="es-ES"/>
              </w:rPr>
              <w:t>Manejo de aguas y drenajes</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_Toc211877971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32</w:t>
            </w:r>
            <w:r w:rsidR="00226F4A" w:rsidRPr="008F3AB1">
              <w:rPr>
                <w:rFonts w:ascii="Arial" w:hAnsi="Arial" w:cs="Arial"/>
                <w:noProof/>
                <w:webHidden/>
                <w:sz w:val="22"/>
                <w:szCs w:val="22"/>
              </w:rPr>
              <w:fldChar w:fldCharType="end"/>
            </w:r>
          </w:hyperlink>
        </w:p>
        <w:p w14:paraId="5B8E3D77" w14:textId="205BF27C"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72" w:history="1">
            <w:r w:rsidR="00226F4A" w:rsidRPr="008F3AB1">
              <w:rPr>
                <w:rStyle w:val="Hipervnculo"/>
                <w:rFonts w:ascii="Arial" w:hAnsi="Arial" w:cs="Arial"/>
                <w:noProof/>
                <w:sz w:val="22"/>
                <w:szCs w:val="22"/>
                <w:lang w:val="es-MX" w:eastAsia="es-ES"/>
              </w:rPr>
              <w:t>2.7.2.2.</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MX" w:eastAsia="es-ES"/>
              </w:rPr>
              <w:t>Manejo del suelo, fertilización y riego</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_Toc211877972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33</w:t>
            </w:r>
            <w:r w:rsidR="00226F4A" w:rsidRPr="008F3AB1">
              <w:rPr>
                <w:rFonts w:ascii="Arial" w:hAnsi="Arial" w:cs="Arial"/>
                <w:noProof/>
                <w:webHidden/>
                <w:sz w:val="22"/>
                <w:szCs w:val="22"/>
              </w:rPr>
              <w:fldChar w:fldCharType="end"/>
            </w:r>
          </w:hyperlink>
        </w:p>
        <w:p w14:paraId="7AD8E029" w14:textId="48DB4E64"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73" w:history="1">
            <w:r w:rsidR="00226F4A" w:rsidRPr="008F3AB1">
              <w:rPr>
                <w:rStyle w:val="Hipervnculo"/>
                <w:rFonts w:ascii="Arial" w:hAnsi="Arial" w:cs="Arial"/>
                <w:noProof/>
                <w:sz w:val="22"/>
                <w:szCs w:val="22"/>
                <w:lang w:val="es-MX" w:eastAsia="es-ES"/>
              </w:rPr>
              <w:t>2.7.2.3.</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MX" w:eastAsia="es-ES"/>
              </w:rPr>
              <w:t>Manejo de Plaguicidas</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_Toc211877973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35</w:t>
            </w:r>
            <w:r w:rsidR="00226F4A" w:rsidRPr="008F3AB1">
              <w:rPr>
                <w:rFonts w:ascii="Arial" w:hAnsi="Arial" w:cs="Arial"/>
                <w:noProof/>
                <w:webHidden/>
                <w:sz w:val="22"/>
                <w:szCs w:val="22"/>
              </w:rPr>
              <w:fldChar w:fldCharType="end"/>
            </w:r>
          </w:hyperlink>
        </w:p>
        <w:p w14:paraId="6D1C6E3E" w14:textId="674D7F2C"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74" w:history="1">
            <w:r w:rsidR="00226F4A" w:rsidRPr="008F3AB1">
              <w:rPr>
                <w:rStyle w:val="Hipervnculo"/>
                <w:rFonts w:ascii="Arial" w:hAnsi="Arial" w:cs="Arial"/>
                <w:noProof/>
                <w:sz w:val="22"/>
                <w:szCs w:val="22"/>
                <w:lang w:val="es-MX" w:eastAsia="es-ES"/>
              </w:rPr>
              <w:t>2.7.2.4.</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MX" w:eastAsia="es-ES"/>
              </w:rPr>
              <w:t>Manejo de residuos sólidos y de vertimientos</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_Toc211877974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36</w:t>
            </w:r>
            <w:r w:rsidR="00226F4A" w:rsidRPr="008F3AB1">
              <w:rPr>
                <w:rFonts w:ascii="Arial" w:hAnsi="Arial" w:cs="Arial"/>
                <w:noProof/>
                <w:webHidden/>
                <w:sz w:val="22"/>
                <w:szCs w:val="22"/>
              </w:rPr>
              <w:fldChar w:fldCharType="end"/>
            </w:r>
          </w:hyperlink>
        </w:p>
        <w:p w14:paraId="76BE2958" w14:textId="4260F544"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75" w:history="1">
            <w:r w:rsidR="00226F4A" w:rsidRPr="008F3AB1">
              <w:rPr>
                <w:rStyle w:val="Hipervnculo"/>
                <w:rFonts w:ascii="Arial" w:hAnsi="Arial" w:cs="Arial"/>
                <w:noProof/>
                <w:sz w:val="22"/>
                <w:szCs w:val="22"/>
                <w:lang w:val="es-ES_tradnl" w:eastAsia="es-ES"/>
              </w:rPr>
              <w:t>2.7.2.5.</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MX" w:eastAsia="es-ES"/>
              </w:rPr>
              <w:t>Gestión integral del cambio climático</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_Toc211877975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38</w:t>
            </w:r>
            <w:r w:rsidR="00226F4A" w:rsidRPr="008F3AB1">
              <w:rPr>
                <w:rFonts w:ascii="Arial" w:hAnsi="Arial" w:cs="Arial"/>
                <w:noProof/>
                <w:webHidden/>
                <w:sz w:val="22"/>
                <w:szCs w:val="22"/>
              </w:rPr>
              <w:fldChar w:fldCharType="end"/>
            </w:r>
          </w:hyperlink>
        </w:p>
        <w:p w14:paraId="784519AA" w14:textId="636262F5" w:rsidR="00226F4A" w:rsidRPr="008F3AB1" w:rsidRDefault="00CD7AEB">
          <w:pPr>
            <w:pStyle w:val="TDC1"/>
            <w:tabs>
              <w:tab w:val="right" w:leader="dot" w:pos="8828"/>
            </w:tabs>
            <w:rPr>
              <w:rFonts w:ascii="Arial" w:eastAsiaTheme="minorEastAsia" w:hAnsi="Arial" w:cs="Arial"/>
              <w:b w:val="0"/>
              <w:bCs w:val="0"/>
              <w:noProof/>
              <w:sz w:val="22"/>
              <w:szCs w:val="22"/>
            </w:rPr>
          </w:pPr>
          <w:hyperlink w:anchor="_Toc211877976" w:history="1">
            <w:r w:rsidR="00226F4A" w:rsidRPr="008F3AB1">
              <w:rPr>
                <w:rStyle w:val="Hipervnculo"/>
                <w:rFonts w:ascii="Arial" w:hAnsi="Arial" w:cs="Arial"/>
                <w:noProof/>
                <w:sz w:val="22"/>
                <w:szCs w:val="22"/>
                <w:lang w:val="es-ES_tradnl" w:eastAsia="es-ES"/>
              </w:rPr>
              <w:t>Adaptación y Mitigación al cambio climático</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_Toc211877976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38</w:t>
            </w:r>
            <w:r w:rsidR="00226F4A" w:rsidRPr="008F3AB1">
              <w:rPr>
                <w:rFonts w:ascii="Arial" w:hAnsi="Arial" w:cs="Arial"/>
                <w:noProof/>
                <w:webHidden/>
                <w:sz w:val="22"/>
                <w:szCs w:val="22"/>
              </w:rPr>
              <w:fldChar w:fldCharType="end"/>
            </w:r>
          </w:hyperlink>
        </w:p>
        <w:p w14:paraId="0DF682FA" w14:textId="345AD44F"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77" w:history="1">
            <w:r w:rsidR="00226F4A" w:rsidRPr="008F3AB1">
              <w:rPr>
                <w:rStyle w:val="Hipervnculo"/>
                <w:rFonts w:ascii="Arial" w:hAnsi="Arial" w:cs="Arial"/>
                <w:noProof/>
                <w:sz w:val="22"/>
                <w:szCs w:val="22"/>
                <w:lang w:val="es-MX" w:eastAsia="es-ES"/>
              </w:rPr>
              <w:t>2.7.3.</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MX" w:eastAsia="es-ES"/>
              </w:rPr>
              <w:t>Participación ciudadana, acceso a la información y justicia ambiental</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_Toc211877977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38</w:t>
            </w:r>
            <w:r w:rsidR="00226F4A" w:rsidRPr="008F3AB1">
              <w:rPr>
                <w:rFonts w:ascii="Arial" w:hAnsi="Arial" w:cs="Arial"/>
                <w:noProof/>
                <w:webHidden/>
                <w:sz w:val="22"/>
                <w:szCs w:val="22"/>
              </w:rPr>
              <w:fldChar w:fldCharType="end"/>
            </w:r>
          </w:hyperlink>
        </w:p>
        <w:p w14:paraId="450B59CE" w14:textId="16D423F8" w:rsidR="00226F4A" w:rsidRPr="008F3AB1" w:rsidRDefault="00CD7AEB">
          <w:pPr>
            <w:pStyle w:val="TDC1"/>
            <w:tabs>
              <w:tab w:val="left" w:pos="880"/>
              <w:tab w:val="right" w:leader="dot" w:pos="8828"/>
            </w:tabs>
            <w:rPr>
              <w:rFonts w:ascii="Arial" w:eastAsiaTheme="minorEastAsia" w:hAnsi="Arial" w:cs="Arial"/>
              <w:b w:val="0"/>
              <w:bCs w:val="0"/>
              <w:noProof/>
              <w:sz w:val="22"/>
              <w:szCs w:val="22"/>
            </w:rPr>
          </w:pPr>
          <w:hyperlink w:anchor="_Toc211877978" w:history="1">
            <w:r w:rsidR="00226F4A" w:rsidRPr="008F3AB1">
              <w:rPr>
                <w:rStyle w:val="Hipervnculo"/>
                <w:rFonts w:ascii="Arial" w:hAnsi="Arial" w:cs="Arial"/>
                <w:noProof/>
                <w:sz w:val="22"/>
                <w:szCs w:val="22"/>
                <w:lang w:val="es-MX" w:eastAsia="es-ES"/>
              </w:rPr>
              <w:t>2.7.4.</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MX" w:eastAsia="es-ES"/>
              </w:rPr>
              <w:t>Monitoreo y seguimiento</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_Toc211877978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40</w:t>
            </w:r>
            <w:r w:rsidR="00226F4A" w:rsidRPr="008F3AB1">
              <w:rPr>
                <w:rFonts w:ascii="Arial" w:hAnsi="Arial" w:cs="Arial"/>
                <w:noProof/>
                <w:webHidden/>
                <w:sz w:val="22"/>
                <w:szCs w:val="22"/>
              </w:rPr>
              <w:fldChar w:fldCharType="end"/>
            </w:r>
          </w:hyperlink>
        </w:p>
        <w:p w14:paraId="5F811B63" w14:textId="39990B5C" w:rsidR="00226F4A" w:rsidRPr="008F3AB1" w:rsidRDefault="00CD7AEB">
          <w:pPr>
            <w:pStyle w:val="TDC1"/>
            <w:tabs>
              <w:tab w:val="left" w:pos="660"/>
              <w:tab w:val="right" w:leader="dot" w:pos="8828"/>
            </w:tabs>
            <w:rPr>
              <w:rFonts w:ascii="Arial" w:eastAsiaTheme="minorEastAsia" w:hAnsi="Arial" w:cs="Arial"/>
              <w:b w:val="0"/>
              <w:bCs w:val="0"/>
              <w:noProof/>
              <w:sz w:val="22"/>
              <w:szCs w:val="22"/>
            </w:rPr>
          </w:pPr>
          <w:hyperlink w:anchor="_Toc211877979" w:history="1">
            <w:r w:rsidR="00226F4A" w:rsidRPr="008F3AB1">
              <w:rPr>
                <w:rStyle w:val="Hipervnculo"/>
                <w:rFonts w:ascii="Arial" w:hAnsi="Arial" w:cs="Arial"/>
                <w:noProof/>
                <w:sz w:val="22"/>
                <w:szCs w:val="22"/>
                <w:lang w:val="es-ES_tradnl" w:eastAsia="es-ES"/>
              </w:rPr>
              <w:t>2.8.</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RECOMENDACIONES DE CARÁCTER AMBIENTAL PARA LA EXPORTACIÓN</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_Toc211877979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40</w:t>
            </w:r>
            <w:r w:rsidR="00226F4A" w:rsidRPr="008F3AB1">
              <w:rPr>
                <w:rFonts w:ascii="Arial" w:hAnsi="Arial" w:cs="Arial"/>
                <w:noProof/>
                <w:webHidden/>
                <w:sz w:val="22"/>
                <w:szCs w:val="22"/>
              </w:rPr>
              <w:fldChar w:fldCharType="end"/>
            </w:r>
          </w:hyperlink>
        </w:p>
        <w:p w14:paraId="77047FDA" w14:textId="5FB4F1BC" w:rsidR="00226F4A" w:rsidRPr="008F3AB1" w:rsidRDefault="00CD7AEB">
          <w:pPr>
            <w:pStyle w:val="TDC1"/>
            <w:tabs>
              <w:tab w:val="left" w:pos="440"/>
              <w:tab w:val="right" w:leader="dot" w:pos="8828"/>
            </w:tabs>
            <w:rPr>
              <w:rFonts w:ascii="Arial" w:eastAsiaTheme="minorEastAsia" w:hAnsi="Arial" w:cs="Arial"/>
              <w:b w:val="0"/>
              <w:bCs w:val="0"/>
              <w:noProof/>
              <w:sz w:val="22"/>
              <w:szCs w:val="22"/>
            </w:rPr>
          </w:pPr>
          <w:hyperlink w:anchor="_Toc211877980" w:history="1">
            <w:r w:rsidR="00226F4A" w:rsidRPr="008F3AB1">
              <w:rPr>
                <w:rStyle w:val="Hipervnculo"/>
                <w:rFonts w:ascii="Arial" w:hAnsi="Arial" w:cs="Arial"/>
                <w:noProof/>
                <w:sz w:val="22"/>
                <w:szCs w:val="22"/>
                <w:lang w:val="es-ES_tradnl" w:eastAsia="es-ES"/>
              </w:rPr>
              <w:t>3.</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MARCO NORMATIVO</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_Toc211877980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42</w:t>
            </w:r>
            <w:r w:rsidR="00226F4A" w:rsidRPr="008F3AB1">
              <w:rPr>
                <w:rFonts w:ascii="Arial" w:hAnsi="Arial" w:cs="Arial"/>
                <w:noProof/>
                <w:webHidden/>
                <w:sz w:val="22"/>
                <w:szCs w:val="22"/>
              </w:rPr>
              <w:fldChar w:fldCharType="end"/>
            </w:r>
          </w:hyperlink>
        </w:p>
        <w:p w14:paraId="02A9B4B4" w14:textId="62E0F9AB" w:rsidR="00226F4A" w:rsidRPr="008F3AB1" w:rsidRDefault="00CD7AEB">
          <w:pPr>
            <w:pStyle w:val="TDC1"/>
            <w:tabs>
              <w:tab w:val="left" w:pos="440"/>
              <w:tab w:val="right" w:leader="dot" w:pos="8828"/>
            </w:tabs>
            <w:rPr>
              <w:rFonts w:ascii="Arial" w:eastAsiaTheme="minorEastAsia" w:hAnsi="Arial" w:cs="Arial"/>
              <w:b w:val="0"/>
              <w:bCs w:val="0"/>
              <w:noProof/>
              <w:sz w:val="22"/>
              <w:szCs w:val="22"/>
            </w:rPr>
          </w:pPr>
          <w:hyperlink w:anchor="_Toc211877981" w:history="1">
            <w:r w:rsidR="00226F4A" w:rsidRPr="008F3AB1">
              <w:rPr>
                <w:rStyle w:val="Hipervnculo"/>
                <w:rFonts w:ascii="Arial" w:hAnsi="Arial" w:cs="Arial"/>
                <w:noProof/>
                <w:sz w:val="22"/>
                <w:szCs w:val="22"/>
                <w:lang w:val="es-ES_tradnl" w:eastAsia="es-ES"/>
              </w:rPr>
              <w:t>4.</w:t>
            </w:r>
            <w:r w:rsidR="00226F4A" w:rsidRPr="008F3AB1">
              <w:rPr>
                <w:rFonts w:ascii="Arial" w:eastAsiaTheme="minorEastAsia" w:hAnsi="Arial" w:cs="Arial"/>
                <w:b w:val="0"/>
                <w:bCs w:val="0"/>
                <w:noProof/>
                <w:sz w:val="22"/>
                <w:szCs w:val="22"/>
              </w:rPr>
              <w:tab/>
            </w:r>
            <w:r w:rsidR="00226F4A" w:rsidRPr="008F3AB1">
              <w:rPr>
                <w:rStyle w:val="Hipervnculo"/>
                <w:rFonts w:ascii="Arial" w:hAnsi="Arial" w:cs="Arial"/>
                <w:noProof/>
                <w:sz w:val="22"/>
                <w:szCs w:val="22"/>
                <w:lang w:val="es-ES_tradnl" w:eastAsia="es-ES"/>
              </w:rPr>
              <w:t>BIBLIOGRAFÍA</w:t>
            </w:r>
            <w:r w:rsidR="00226F4A" w:rsidRPr="008F3AB1">
              <w:rPr>
                <w:rFonts w:ascii="Arial" w:hAnsi="Arial" w:cs="Arial"/>
                <w:noProof/>
                <w:webHidden/>
                <w:sz w:val="22"/>
                <w:szCs w:val="22"/>
              </w:rPr>
              <w:tab/>
            </w:r>
            <w:r w:rsidR="00226F4A" w:rsidRPr="008F3AB1">
              <w:rPr>
                <w:rFonts w:ascii="Arial" w:hAnsi="Arial" w:cs="Arial"/>
                <w:noProof/>
                <w:webHidden/>
                <w:sz w:val="22"/>
                <w:szCs w:val="22"/>
              </w:rPr>
              <w:fldChar w:fldCharType="begin"/>
            </w:r>
            <w:r w:rsidR="00226F4A" w:rsidRPr="008F3AB1">
              <w:rPr>
                <w:rFonts w:ascii="Arial" w:hAnsi="Arial" w:cs="Arial"/>
                <w:noProof/>
                <w:webHidden/>
                <w:sz w:val="22"/>
                <w:szCs w:val="22"/>
              </w:rPr>
              <w:instrText xml:space="preserve"> PAGEREF _Toc211877981 \h </w:instrText>
            </w:r>
            <w:r w:rsidR="00226F4A" w:rsidRPr="008F3AB1">
              <w:rPr>
                <w:rFonts w:ascii="Arial" w:hAnsi="Arial" w:cs="Arial"/>
                <w:noProof/>
                <w:webHidden/>
                <w:sz w:val="22"/>
                <w:szCs w:val="22"/>
              </w:rPr>
            </w:r>
            <w:r w:rsidR="00226F4A" w:rsidRPr="008F3AB1">
              <w:rPr>
                <w:rFonts w:ascii="Arial" w:hAnsi="Arial" w:cs="Arial"/>
                <w:noProof/>
                <w:webHidden/>
                <w:sz w:val="22"/>
                <w:szCs w:val="22"/>
              </w:rPr>
              <w:fldChar w:fldCharType="separate"/>
            </w:r>
            <w:r w:rsidR="00226F4A" w:rsidRPr="008F3AB1">
              <w:rPr>
                <w:rFonts w:ascii="Arial" w:hAnsi="Arial" w:cs="Arial"/>
                <w:noProof/>
                <w:webHidden/>
                <w:sz w:val="22"/>
                <w:szCs w:val="22"/>
              </w:rPr>
              <w:t>70</w:t>
            </w:r>
            <w:r w:rsidR="00226F4A" w:rsidRPr="008F3AB1">
              <w:rPr>
                <w:rFonts w:ascii="Arial" w:hAnsi="Arial" w:cs="Arial"/>
                <w:noProof/>
                <w:webHidden/>
                <w:sz w:val="22"/>
                <w:szCs w:val="22"/>
              </w:rPr>
              <w:fldChar w:fldCharType="end"/>
            </w:r>
          </w:hyperlink>
        </w:p>
        <w:p w14:paraId="7DFBA726" w14:textId="7C8A6A1A" w:rsidR="00827A41" w:rsidRPr="008F3AB1" w:rsidRDefault="00827A41" w:rsidP="00827A41">
          <w:pPr>
            <w:rPr>
              <w:rFonts w:cs="Arial"/>
            </w:rPr>
          </w:pPr>
          <w:r w:rsidRPr="008F3AB1">
            <w:rPr>
              <w:rFonts w:cs="Arial"/>
              <w:b/>
              <w:bCs/>
            </w:rPr>
            <w:fldChar w:fldCharType="end"/>
          </w:r>
        </w:p>
      </w:sdtContent>
    </w:sdt>
    <w:p w14:paraId="3A4846FB" w14:textId="77777777" w:rsidR="00827A41" w:rsidRPr="008F3AB1" w:rsidRDefault="00827A41" w:rsidP="00827A41">
      <w:pPr>
        <w:pStyle w:val="Default"/>
        <w:jc w:val="both"/>
        <w:rPr>
          <w:rFonts w:eastAsiaTheme="minorEastAsia"/>
          <w:lang w:val="es-ES_tradnl" w:eastAsia="es-ES"/>
        </w:rPr>
      </w:pPr>
    </w:p>
    <w:p w14:paraId="01D7CD80" w14:textId="77777777" w:rsidR="00827A41" w:rsidRPr="008F3AB1" w:rsidRDefault="00827A41" w:rsidP="00827A41">
      <w:pPr>
        <w:spacing w:line="259" w:lineRule="auto"/>
        <w:jc w:val="left"/>
        <w:rPr>
          <w:rFonts w:eastAsiaTheme="minorEastAsia" w:cs="Arial"/>
          <w:b/>
          <w:color w:val="000000"/>
          <w:sz w:val="24"/>
          <w:szCs w:val="24"/>
          <w:lang w:val="es-ES_tradnl" w:eastAsia="es-ES"/>
        </w:rPr>
      </w:pPr>
      <w:r w:rsidRPr="008F3AB1">
        <w:rPr>
          <w:rFonts w:eastAsiaTheme="minorEastAsia" w:cs="Arial"/>
          <w:b/>
          <w:lang w:val="es-ES_tradnl" w:eastAsia="es-ES"/>
        </w:rPr>
        <w:br w:type="page"/>
      </w:r>
    </w:p>
    <w:p w14:paraId="4EF35176" w14:textId="77777777" w:rsidR="00827A41" w:rsidRPr="008F3AB1" w:rsidRDefault="00827A41" w:rsidP="00827A41">
      <w:pPr>
        <w:pStyle w:val="Default"/>
        <w:jc w:val="both"/>
        <w:rPr>
          <w:rFonts w:eastAsiaTheme="minorEastAsia"/>
          <w:b/>
          <w:lang w:val="es-ES_tradnl" w:eastAsia="es-ES"/>
        </w:rPr>
      </w:pPr>
      <w:r w:rsidRPr="008F3AB1">
        <w:rPr>
          <w:rFonts w:eastAsiaTheme="minorEastAsia"/>
          <w:b/>
          <w:lang w:val="es-ES_tradnl" w:eastAsia="es-ES"/>
        </w:rPr>
        <w:lastRenderedPageBreak/>
        <w:t>INDICE DE FIGURAS</w:t>
      </w:r>
    </w:p>
    <w:p w14:paraId="6788EAEB" w14:textId="77777777" w:rsidR="00827A41" w:rsidRPr="008F3AB1" w:rsidRDefault="00827A41" w:rsidP="00827A41">
      <w:pPr>
        <w:pStyle w:val="Default"/>
        <w:jc w:val="both"/>
        <w:rPr>
          <w:rFonts w:eastAsiaTheme="minorEastAsia"/>
          <w:b/>
          <w:lang w:val="es-ES_tradnl" w:eastAsia="es-ES"/>
        </w:rPr>
      </w:pPr>
    </w:p>
    <w:p w14:paraId="4AD55D87" w14:textId="6A6C28A0" w:rsidR="00226F4A" w:rsidRPr="008F3AB1" w:rsidRDefault="00827A41">
      <w:pPr>
        <w:pStyle w:val="Tabladeilustraciones"/>
        <w:tabs>
          <w:tab w:val="right" w:leader="dot" w:pos="8828"/>
        </w:tabs>
        <w:rPr>
          <w:rFonts w:asciiTheme="minorHAnsi" w:eastAsiaTheme="minorEastAsia" w:hAnsiTheme="minorHAnsi"/>
          <w:noProof/>
          <w:lang w:val="en-US"/>
        </w:rPr>
      </w:pPr>
      <w:r w:rsidRPr="008F3AB1">
        <w:rPr>
          <w:rFonts w:eastAsiaTheme="minorEastAsia" w:cs="Arial"/>
          <w:b/>
          <w:lang w:val="es-ES_tradnl" w:eastAsia="es-ES"/>
        </w:rPr>
        <w:fldChar w:fldCharType="begin"/>
      </w:r>
      <w:r w:rsidRPr="008F3AB1">
        <w:rPr>
          <w:rFonts w:eastAsiaTheme="minorEastAsia" w:cs="Arial"/>
          <w:b/>
          <w:lang w:val="es-ES_tradnl" w:eastAsia="es-ES"/>
        </w:rPr>
        <w:instrText xml:space="preserve"> TOC \h \z \c "Figura" </w:instrText>
      </w:r>
      <w:r w:rsidRPr="008F3AB1">
        <w:rPr>
          <w:rFonts w:eastAsiaTheme="minorEastAsia" w:cs="Arial"/>
          <w:b/>
          <w:lang w:val="es-ES_tradnl" w:eastAsia="es-ES"/>
        </w:rPr>
        <w:fldChar w:fldCharType="separate"/>
      </w:r>
      <w:hyperlink w:anchor="_Toc211877982" w:history="1">
        <w:r w:rsidR="00226F4A" w:rsidRPr="008F3AB1">
          <w:rPr>
            <w:rStyle w:val="Hipervnculo"/>
            <w:rFonts w:cs="Arial"/>
            <w:noProof/>
          </w:rPr>
          <w:t xml:space="preserve">Figura 1.Mapas de déficit hídrico. Distribución espaciotemporal del déficit hídrico al año en áreas con potencial de producción para aguacate en Colombia) tamaño píxel de 1 km2. (a) Número de meses con déficit de agua. (b) número de períodos en déficit hídrico. Adaptado de </w:t>
        </w:r>
        <w:r w:rsidR="00226F4A" w:rsidRPr="008F3AB1">
          <w:rPr>
            <w:rStyle w:val="Hipervnculo"/>
            <w:rFonts w:cs="Arial"/>
            <w:noProof/>
            <w:lang w:val="es-MX"/>
          </w:rPr>
          <w:t>(Erazo, 2021)</w:t>
        </w:r>
        <w:r w:rsidR="00226F4A" w:rsidRPr="008F3AB1">
          <w:rPr>
            <w:noProof/>
            <w:webHidden/>
          </w:rPr>
          <w:tab/>
        </w:r>
        <w:r w:rsidR="00226F4A" w:rsidRPr="008F3AB1">
          <w:rPr>
            <w:noProof/>
            <w:webHidden/>
          </w:rPr>
          <w:fldChar w:fldCharType="begin"/>
        </w:r>
        <w:r w:rsidR="00226F4A" w:rsidRPr="008F3AB1">
          <w:rPr>
            <w:noProof/>
            <w:webHidden/>
          </w:rPr>
          <w:instrText xml:space="preserve"> PAGEREF _Toc211877982 \h </w:instrText>
        </w:r>
        <w:r w:rsidR="00226F4A" w:rsidRPr="008F3AB1">
          <w:rPr>
            <w:noProof/>
            <w:webHidden/>
          </w:rPr>
        </w:r>
        <w:r w:rsidR="00226F4A" w:rsidRPr="008F3AB1">
          <w:rPr>
            <w:noProof/>
            <w:webHidden/>
          </w:rPr>
          <w:fldChar w:fldCharType="separate"/>
        </w:r>
        <w:r w:rsidR="00226F4A" w:rsidRPr="008F3AB1">
          <w:rPr>
            <w:noProof/>
            <w:webHidden/>
          </w:rPr>
          <w:t>22</w:t>
        </w:r>
        <w:r w:rsidR="00226F4A" w:rsidRPr="008F3AB1">
          <w:rPr>
            <w:noProof/>
            <w:webHidden/>
          </w:rPr>
          <w:fldChar w:fldCharType="end"/>
        </w:r>
      </w:hyperlink>
    </w:p>
    <w:p w14:paraId="7671CEBE" w14:textId="06D88D00" w:rsidR="00226F4A" w:rsidRPr="008F3AB1" w:rsidRDefault="00CD7AEB">
      <w:pPr>
        <w:pStyle w:val="Tabladeilustraciones"/>
        <w:tabs>
          <w:tab w:val="right" w:leader="dot" w:pos="8828"/>
        </w:tabs>
        <w:rPr>
          <w:rFonts w:asciiTheme="minorHAnsi" w:eastAsiaTheme="minorEastAsia" w:hAnsiTheme="minorHAnsi"/>
          <w:noProof/>
          <w:lang w:val="en-US"/>
        </w:rPr>
      </w:pPr>
      <w:hyperlink w:anchor="_Toc211877983" w:history="1">
        <w:r w:rsidR="00226F4A" w:rsidRPr="008F3AB1">
          <w:rPr>
            <w:rStyle w:val="Hipervnculo"/>
            <w:rFonts w:cs="Arial"/>
            <w:noProof/>
          </w:rPr>
          <w:t>Figura 2. Aptitud de aguacate y reservas forestales de Ley 2ª (DOAT, 2024)</w:t>
        </w:r>
        <w:r w:rsidR="00226F4A" w:rsidRPr="008F3AB1">
          <w:rPr>
            <w:noProof/>
            <w:webHidden/>
          </w:rPr>
          <w:tab/>
        </w:r>
        <w:r w:rsidR="00226F4A" w:rsidRPr="008F3AB1">
          <w:rPr>
            <w:noProof/>
            <w:webHidden/>
          </w:rPr>
          <w:fldChar w:fldCharType="begin"/>
        </w:r>
        <w:r w:rsidR="00226F4A" w:rsidRPr="008F3AB1">
          <w:rPr>
            <w:noProof/>
            <w:webHidden/>
          </w:rPr>
          <w:instrText xml:space="preserve"> PAGEREF _Toc211877983 \h </w:instrText>
        </w:r>
        <w:r w:rsidR="00226F4A" w:rsidRPr="008F3AB1">
          <w:rPr>
            <w:noProof/>
            <w:webHidden/>
          </w:rPr>
        </w:r>
        <w:r w:rsidR="00226F4A" w:rsidRPr="008F3AB1">
          <w:rPr>
            <w:noProof/>
            <w:webHidden/>
          </w:rPr>
          <w:fldChar w:fldCharType="separate"/>
        </w:r>
        <w:r w:rsidR="00226F4A" w:rsidRPr="008F3AB1">
          <w:rPr>
            <w:noProof/>
            <w:webHidden/>
          </w:rPr>
          <w:t>28</w:t>
        </w:r>
        <w:r w:rsidR="00226F4A" w:rsidRPr="008F3AB1">
          <w:rPr>
            <w:noProof/>
            <w:webHidden/>
          </w:rPr>
          <w:fldChar w:fldCharType="end"/>
        </w:r>
      </w:hyperlink>
    </w:p>
    <w:p w14:paraId="3F824F5F" w14:textId="5C08709F" w:rsidR="00827A41" w:rsidRPr="008F3AB1" w:rsidRDefault="00827A41" w:rsidP="00827A41">
      <w:pPr>
        <w:pStyle w:val="Default"/>
        <w:jc w:val="both"/>
        <w:rPr>
          <w:rFonts w:eastAsiaTheme="minorEastAsia"/>
          <w:b/>
          <w:lang w:val="es-ES_tradnl" w:eastAsia="es-ES"/>
        </w:rPr>
      </w:pPr>
      <w:r w:rsidRPr="008F3AB1">
        <w:rPr>
          <w:rFonts w:eastAsiaTheme="minorEastAsia"/>
          <w:b/>
          <w:lang w:val="es-ES_tradnl" w:eastAsia="es-ES"/>
        </w:rPr>
        <w:fldChar w:fldCharType="end"/>
      </w:r>
    </w:p>
    <w:p w14:paraId="052BC396" w14:textId="77777777" w:rsidR="00827A41" w:rsidRPr="008F3AB1" w:rsidRDefault="00827A41" w:rsidP="00827A41">
      <w:pPr>
        <w:pStyle w:val="Default"/>
        <w:jc w:val="both"/>
        <w:rPr>
          <w:rFonts w:eastAsiaTheme="minorEastAsia"/>
          <w:lang w:val="es-ES_tradnl" w:eastAsia="es-ES"/>
        </w:rPr>
      </w:pPr>
    </w:p>
    <w:p w14:paraId="7AFAFD52" w14:textId="77777777" w:rsidR="00827A41" w:rsidRPr="008F3AB1" w:rsidRDefault="00827A41" w:rsidP="00827A41">
      <w:pPr>
        <w:pStyle w:val="Default"/>
        <w:jc w:val="both"/>
        <w:rPr>
          <w:rFonts w:eastAsiaTheme="minorEastAsia"/>
          <w:lang w:val="es-ES_tradnl" w:eastAsia="es-ES"/>
        </w:rPr>
      </w:pPr>
    </w:p>
    <w:p w14:paraId="09D53CF6" w14:textId="77777777" w:rsidR="00827A41" w:rsidRPr="008F3AB1" w:rsidRDefault="00827A41" w:rsidP="00827A41">
      <w:pPr>
        <w:pStyle w:val="Default"/>
        <w:jc w:val="both"/>
        <w:rPr>
          <w:b/>
          <w:color w:val="auto"/>
          <w:szCs w:val="22"/>
          <w:lang w:val="es-ES_tradnl" w:eastAsia="es-ES"/>
        </w:rPr>
      </w:pPr>
      <w:r w:rsidRPr="008F3AB1">
        <w:rPr>
          <w:b/>
          <w:color w:val="auto"/>
          <w:szCs w:val="22"/>
          <w:lang w:val="es-ES_tradnl" w:eastAsia="es-ES"/>
        </w:rPr>
        <w:t>ÍNDICE DE TABLAS</w:t>
      </w:r>
    </w:p>
    <w:p w14:paraId="54905ABE" w14:textId="77777777" w:rsidR="00827A41" w:rsidRPr="008F3AB1" w:rsidRDefault="00827A41" w:rsidP="00827A41">
      <w:pPr>
        <w:pStyle w:val="Default"/>
        <w:jc w:val="both"/>
        <w:rPr>
          <w:rFonts w:eastAsiaTheme="minorEastAsia"/>
          <w:lang w:val="es-ES_tradnl" w:eastAsia="es-ES"/>
        </w:rPr>
      </w:pPr>
    </w:p>
    <w:p w14:paraId="5AB3F60C" w14:textId="618FCCBB" w:rsidR="00226F4A" w:rsidRPr="008F3AB1" w:rsidRDefault="00827A41">
      <w:pPr>
        <w:pStyle w:val="Tabladeilustraciones"/>
        <w:tabs>
          <w:tab w:val="right" w:leader="dot" w:pos="8828"/>
        </w:tabs>
        <w:rPr>
          <w:rFonts w:asciiTheme="minorHAnsi" w:eastAsiaTheme="minorEastAsia" w:hAnsiTheme="minorHAnsi"/>
          <w:noProof/>
          <w:lang w:val="en-US"/>
        </w:rPr>
      </w:pPr>
      <w:r w:rsidRPr="008F3AB1">
        <w:rPr>
          <w:rFonts w:eastAsiaTheme="minorEastAsia" w:cs="Arial"/>
          <w:lang w:val="es-ES_tradnl" w:eastAsia="es-ES"/>
        </w:rPr>
        <w:fldChar w:fldCharType="begin"/>
      </w:r>
      <w:r w:rsidRPr="008F3AB1">
        <w:rPr>
          <w:rFonts w:eastAsiaTheme="minorEastAsia" w:cs="Arial"/>
          <w:lang w:val="es-ES_tradnl" w:eastAsia="es-ES"/>
        </w:rPr>
        <w:instrText xml:space="preserve"> TOC \h \z \c "Tabla" </w:instrText>
      </w:r>
      <w:r w:rsidRPr="008F3AB1">
        <w:rPr>
          <w:rFonts w:eastAsiaTheme="minorEastAsia" w:cs="Arial"/>
          <w:lang w:val="es-ES_tradnl" w:eastAsia="es-ES"/>
        </w:rPr>
        <w:fldChar w:fldCharType="separate"/>
      </w:r>
      <w:hyperlink w:anchor="_Toc211877984" w:history="1">
        <w:r w:rsidR="00226F4A" w:rsidRPr="008F3AB1">
          <w:rPr>
            <w:rStyle w:val="Hipervnculo"/>
            <w:noProof/>
          </w:rPr>
          <w:t>Tabla 1 Otras figuras de ordenamiento territorial a tener en cuenta en el establecimiento de cultivos de aguacate.</w:t>
        </w:r>
        <w:r w:rsidR="00226F4A" w:rsidRPr="008F3AB1">
          <w:rPr>
            <w:noProof/>
            <w:webHidden/>
          </w:rPr>
          <w:tab/>
        </w:r>
        <w:r w:rsidR="00226F4A" w:rsidRPr="008F3AB1">
          <w:rPr>
            <w:noProof/>
            <w:webHidden/>
          </w:rPr>
          <w:fldChar w:fldCharType="begin"/>
        </w:r>
        <w:r w:rsidR="00226F4A" w:rsidRPr="008F3AB1">
          <w:rPr>
            <w:noProof/>
            <w:webHidden/>
          </w:rPr>
          <w:instrText xml:space="preserve"> PAGEREF _Toc211877984 \h </w:instrText>
        </w:r>
        <w:r w:rsidR="00226F4A" w:rsidRPr="008F3AB1">
          <w:rPr>
            <w:noProof/>
            <w:webHidden/>
          </w:rPr>
        </w:r>
        <w:r w:rsidR="00226F4A" w:rsidRPr="008F3AB1">
          <w:rPr>
            <w:noProof/>
            <w:webHidden/>
          </w:rPr>
          <w:fldChar w:fldCharType="separate"/>
        </w:r>
        <w:r w:rsidR="00226F4A" w:rsidRPr="008F3AB1">
          <w:rPr>
            <w:noProof/>
            <w:webHidden/>
          </w:rPr>
          <w:t>16</w:t>
        </w:r>
        <w:r w:rsidR="00226F4A" w:rsidRPr="008F3AB1">
          <w:rPr>
            <w:noProof/>
            <w:webHidden/>
          </w:rPr>
          <w:fldChar w:fldCharType="end"/>
        </w:r>
      </w:hyperlink>
    </w:p>
    <w:p w14:paraId="44F30BFE" w14:textId="3E1EAEF7" w:rsidR="00226F4A" w:rsidRPr="008F3AB1" w:rsidRDefault="00CD7AEB">
      <w:pPr>
        <w:pStyle w:val="Tabladeilustraciones"/>
        <w:tabs>
          <w:tab w:val="right" w:leader="dot" w:pos="8828"/>
        </w:tabs>
        <w:rPr>
          <w:rFonts w:asciiTheme="minorHAnsi" w:eastAsiaTheme="minorEastAsia" w:hAnsiTheme="minorHAnsi"/>
          <w:noProof/>
          <w:lang w:val="en-US"/>
        </w:rPr>
      </w:pPr>
      <w:hyperlink w:anchor="_Toc211877985" w:history="1">
        <w:r w:rsidR="00226F4A" w:rsidRPr="008F3AB1">
          <w:rPr>
            <w:rStyle w:val="Hipervnculo"/>
            <w:rFonts w:cs="Arial"/>
            <w:noProof/>
          </w:rPr>
          <w:t xml:space="preserve">Tabla 2. </w:t>
        </w:r>
        <w:r w:rsidR="00226F4A" w:rsidRPr="008F3AB1">
          <w:rPr>
            <w:rStyle w:val="Hipervnculo"/>
            <w:rFonts w:cs="Arial"/>
            <w:strike/>
            <w:noProof/>
          </w:rPr>
          <w:t>Marco Legal y Normativo para la producción agrícola sostenible en Colombia</w:t>
        </w:r>
        <w:r w:rsidR="00226F4A" w:rsidRPr="008F3AB1">
          <w:rPr>
            <w:rStyle w:val="Hipervnculo"/>
            <w:rFonts w:cs="Arial"/>
            <w:noProof/>
          </w:rPr>
          <w:t xml:space="preserve"> Marco Normativo a tener en cuenta la autoridad ambiental territorial para la gestión ambiental de los cultivos de los cultivos de aguacate en Colombia.</w:t>
        </w:r>
        <w:r w:rsidR="00226F4A" w:rsidRPr="008F3AB1">
          <w:rPr>
            <w:noProof/>
            <w:webHidden/>
          </w:rPr>
          <w:tab/>
        </w:r>
        <w:r w:rsidR="00226F4A" w:rsidRPr="008F3AB1">
          <w:rPr>
            <w:noProof/>
            <w:webHidden/>
          </w:rPr>
          <w:fldChar w:fldCharType="begin"/>
        </w:r>
        <w:r w:rsidR="00226F4A" w:rsidRPr="008F3AB1">
          <w:rPr>
            <w:noProof/>
            <w:webHidden/>
          </w:rPr>
          <w:instrText xml:space="preserve"> PAGEREF _Toc211877985 \h </w:instrText>
        </w:r>
        <w:r w:rsidR="00226F4A" w:rsidRPr="008F3AB1">
          <w:rPr>
            <w:noProof/>
            <w:webHidden/>
          </w:rPr>
        </w:r>
        <w:r w:rsidR="00226F4A" w:rsidRPr="008F3AB1">
          <w:rPr>
            <w:noProof/>
            <w:webHidden/>
          </w:rPr>
          <w:fldChar w:fldCharType="separate"/>
        </w:r>
        <w:r w:rsidR="00226F4A" w:rsidRPr="008F3AB1">
          <w:rPr>
            <w:noProof/>
            <w:webHidden/>
          </w:rPr>
          <w:t>42</w:t>
        </w:r>
        <w:r w:rsidR="00226F4A" w:rsidRPr="008F3AB1">
          <w:rPr>
            <w:noProof/>
            <w:webHidden/>
          </w:rPr>
          <w:fldChar w:fldCharType="end"/>
        </w:r>
      </w:hyperlink>
    </w:p>
    <w:p w14:paraId="3D2D5588" w14:textId="69C2368F" w:rsidR="00827A41" w:rsidRPr="008F3AB1" w:rsidRDefault="00827A41" w:rsidP="00827A41">
      <w:pPr>
        <w:pStyle w:val="Default"/>
        <w:jc w:val="both"/>
        <w:rPr>
          <w:rFonts w:eastAsiaTheme="minorEastAsia"/>
          <w:lang w:val="es-ES_tradnl" w:eastAsia="es-ES"/>
        </w:rPr>
      </w:pPr>
      <w:r w:rsidRPr="008F3AB1">
        <w:rPr>
          <w:rFonts w:eastAsiaTheme="minorEastAsia"/>
          <w:lang w:val="es-ES_tradnl" w:eastAsia="es-ES"/>
        </w:rPr>
        <w:fldChar w:fldCharType="end"/>
      </w:r>
    </w:p>
    <w:p w14:paraId="0F370625" w14:textId="77777777" w:rsidR="00827A41" w:rsidRPr="008F3AB1" w:rsidRDefault="00827A41" w:rsidP="00827A41">
      <w:pPr>
        <w:pStyle w:val="Default"/>
        <w:jc w:val="both"/>
        <w:rPr>
          <w:rFonts w:eastAsiaTheme="minorEastAsia"/>
          <w:lang w:val="es-ES_tradnl" w:eastAsia="es-ES"/>
        </w:rPr>
      </w:pPr>
    </w:p>
    <w:p w14:paraId="4CF374B6" w14:textId="77777777" w:rsidR="00827A41" w:rsidRPr="008F3AB1" w:rsidRDefault="00827A41" w:rsidP="00827A41">
      <w:pPr>
        <w:pStyle w:val="Default"/>
        <w:jc w:val="both"/>
        <w:rPr>
          <w:rFonts w:eastAsiaTheme="minorEastAsia"/>
          <w:lang w:val="es-ES_tradnl" w:eastAsia="es-ES"/>
        </w:rPr>
      </w:pPr>
    </w:p>
    <w:p w14:paraId="32D13798" w14:textId="77777777" w:rsidR="00827A41" w:rsidRPr="008F3AB1" w:rsidRDefault="00827A41" w:rsidP="00827A41">
      <w:pPr>
        <w:pStyle w:val="Default"/>
        <w:jc w:val="both"/>
        <w:rPr>
          <w:rFonts w:eastAsiaTheme="minorEastAsia"/>
          <w:lang w:val="es-ES_tradnl" w:eastAsia="es-ES"/>
        </w:rPr>
      </w:pPr>
    </w:p>
    <w:p w14:paraId="1F4E9504" w14:textId="77777777" w:rsidR="00827A41" w:rsidRPr="008F3AB1" w:rsidRDefault="00827A41" w:rsidP="00827A41">
      <w:pPr>
        <w:pStyle w:val="Default"/>
        <w:jc w:val="both"/>
        <w:rPr>
          <w:rFonts w:eastAsiaTheme="minorEastAsia"/>
          <w:lang w:val="es-ES_tradnl" w:eastAsia="es-ES"/>
        </w:rPr>
      </w:pPr>
    </w:p>
    <w:p w14:paraId="24B78948" w14:textId="77777777" w:rsidR="00827A41" w:rsidRPr="008F3AB1" w:rsidRDefault="00827A41" w:rsidP="00827A41">
      <w:pPr>
        <w:pStyle w:val="Default"/>
        <w:jc w:val="both"/>
        <w:rPr>
          <w:rFonts w:eastAsiaTheme="minorEastAsia"/>
          <w:lang w:val="es-ES_tradnl" w:eastAsia="es-ES"/>
        </w:rPr>
      </w:pPr>
    </w:p>
    <w:p w14:paraId="301A45EE" w14:textId="77777777" w:rsidR="00827A41" w:rsidRPr="008F3AB1" w:rsidRDefault="00827A41" w:rsidP="00827A41">
      <w:pPr>
        <w:spacing w:line="259" w:lineRule="auto"/>
        <w:jc w:val="left"/>
        <w:rPr>
          <w:rFonts w:eastAsiaTheme="minorEastAsia" w:cs="Arial"/>
          <w:color w:val="000000"/>
          <w:sz w:val="24"/>
          <w:szCs w:val="24"/>
          <w:lang w:val="es-ES_tradnl" w:eastAsia="es-ES"/>
        </w:rPr>
      </w:pPr>
      <w:r w:rsidRPr="008F3AB1">
        <w:rPr>
          <w:rFonts w:eastAsiaTheme="minorEastAsia" w:cs="Arial"/>
          <w:lang w:val="es-ES_tradnl" w:eastAsia="es-ES"/>
        </w:rPr>
        <w:br w:type="page"/>
      </w:r>
    </w:p>
    <w:p w14:paraId="7AF98CD4" w14:textId="77777777" w:rsidR="00827A41" w:rsidRPr="008F3AB1" w:rsidRDefault="00827A41" w:rsidP="00827A41">
      <w:pPr>
        <w:pStyle w:val="Default"/>
        <w:jc w:val="both"/>
        <w:rPr>
          <w:rFonts w:eastAsiaTheme="minorEastAsia"/>
          <w:lang w:val="es-ES_tradnl" w:eastAsia="es-ES"/>
        </w:rPr>
      </w:pPr>
    </w:p>
    <w:p w14:paraId="529CAB42" w14:textId="77777777" w:rsidR="00827A41" w:rsidRPr="008F3AB1" w:rsidRDefault="00827A41" w:rsidP="005306CE">
      <w:pPr>
        <w:pStyle w:val="Ttulo1"/>
        <w:keepNext/>
        <w:keepLines/>
        <w:widowControl/>
        <w:numPr>
          <w:ilvl w:val="0"/>
          <w:numId w:val="43"/>
        </w:numPr>
        <w:autoSpaceDE/>
        <w:autoSpaceDN/>
        <w:spacing w:before="240"/>
        <w:rPr>
          <w:rFonts w:eastAsiaTheme="minorEastAsia"/>
          <w:lang w:val="es-ES_tradnl" w:eastAsia="es-ES"/>
        </w:rPr>
      </w:pPr>
      <w:bookmarkStart w:id="2" w:name="_Toc211877952"/>
      <w:r w:rsidRPr="008F3AB1">
        <w:rPr>
          <w:rFonts w:eastAsiaTheme="minorEastAsia"/>
          <w:lang w:val="es-ES_tradnl" w:eastAsia="es-ES"/>
        </w:rPr>
        <w:t>INTRODUCCIÓN</w:t>
      </w:r>
      <w:bookmarkEnd w:id="2"/>
    </w:p>
    <w:p w14:paraId="5F62E1C2" w14:textId="77777777" w:rsidR="00827A41" w:rsidRPr="008F3AB1" w:rsidRDefault="00827A41" w:rsidP="00827A41">
      <w:pPr>
        <w:rPr>
          <w:rFonts w:cs="Arial"/>
          <w:lang w:val="es-ES_tradnl" w:eastAsia="es-ES"/>
        </w:rPr>
      </w:pPr>
    </w:p>
    <w:p w14:paraId="6F7BC70F" w14:textId="77777777" w:rsidR="00827A41" w:rsidRPr="008F3AB1" w:rsidRDefault="00827A41" w:rsidP="00827A41">
      <w:pPr>
        <w:rPr>
          <w:rFonts w:cs="Arial"/>
        </w:rPr>
      </w:pPr>
      <w:r w:rsidRPr="008F3AB1">
        <w:rPr>
          <w:rFonts w:cs="Arial"/>
        </w:rPr>
        <w:t>Colombia es un país con vocación principalmente agrícola, derivada de la alta biodiversidad en recursos naturales y sus condiciones climáticas tropicales que favorecen la productividad y el rendimiento de los cultivos. No obstante, el aumento en la demanda de productos como el aguacate ha generado un aumento en los cambios de uso del suelo, para el establecimiento de cultivos de este producto altamente impactantes a nivel ambiental, por la presión que ejercen sobre el recurso suelo, la demanda de agua para el desarrollo de las plantaciones, la modificación del paisaje e interrupción de la conectividad ecológica.</w:t>
      </w:r>
    </w:p>
    <w:p w14:paraId="7A9086C1" w14:textId="77777777" w:rsidR="00827A41" w:rsidRPr="008F3AB1" w:rsidRDefault="00827A41" w:rsidP="00827A41">
      <w:pPr>
        <w:rPr>
          <w:rFonts w:cs="Arial"/>
        </w:rPr>
      </w:pPr>
      <w:bookmarkStart w:id="3" w:name="_Hlk199239071"/>
      <w:r w:rsidRPr="008F3AB1">
        <w:rPr>
          <w:rFonts w:cs="Arial"/>
          <w:lang w:eastAsia="es-ES"/>
        </w:rPr>
        <w:t xml:space="preserve">De acuerdo con las cifras del Ministerio de Agricultura y Desarrollo Rural, en Colombia para  el año 2015 contaban con 57.826 hectáreas dedicadas al cultivo de aguacate y en el año 2024 esta cifra ascendió a </w:t>
      </w:r>
      <w:r w:rsidRPr="008F3AB1">
        <w:rPr>
          <w:rFonts w:eastAsia="Times New Roman" w:cs="Arial"/>
          <w:color w:val="000000"/>
          <w:sz w:val="24"/>
          <w:szCs w:val="24"/>
          <w:lang w:val="es-MX"/>
        </w:rPr>
        <w:t xml:space="preserve">139.337,10 </w:t>
      </w:r>
      <w:r w:rsidRPr="008F3AB1">
        <w:rPr>
          <w:rFonts w:cs="Arial"/>
          <w:lang w:eastAsia="es-ES"/>
        </w:rPr>
        <w:t>hectáreas</w:t>
      </w:r>
      <w:r w:rsidRPr="008F3AB1">
        <w:rPr>
          <w:rFonts w:cs="Arial"/>
          <w:noProof/>
          <w:lang w:val="es-MX" w:eastAsia="es-ES"/>
        </w:rPr>
        <w:t xml:space="preserve"> (Ministerio de Agricultura y Desarrollo Rural 2021)</w:t>
      </w:r>
      <w:sdt>
        <w:sdtPr>
          <w:rPr>
            <w:rFonts w:cs="Arial"/>
            <w:noProof/>
            <w:lang w:val="es-MX" w:eastAsia="es-ES"/>
          </w:rPr>
          <w:id w:val="1020580330"/>
          <w:citation/>
        </w:sdtPr>
        <w:sdtContent>
          <w:r w:rsidRPr="008F3AB1">
            <w:rPr>
              <w:rFonts w:cs="Arial"/>
              <w:noProof/>
              <w:lang w:val="es-MX" w:eastAsia="es-ES"/>
            </w:rPr>
            <w:fldChar w:fldCharType="begin"/>
          </w:r>
          <w:r w:rsidRPr="008F3AB1">
            <w:rPr>
              <w:rFonts w:cs="Arial"/>
              <w:noProof/>
              <w:lang w:val="es-MX" w:eastAsia="es-ES"/>
            </w:rPr>
            <w:instrText xml:space="preserve"> CITATION Uni25 \l 2058 </w:instrText>
          </w:r>
          <w:r w:rsidRPr="008F3AB1">
            <w:rPr>
              <w:rFonts w:cs="Arial"/>
              <w:noProof/>
              <w:lang w:val="es-MX" w:eastAsia="es-ES"/>
            </w:rPr>
            <w:fldChar w:fldCharType="separate"/>
          </w:r>
          <w:r w:rsidRPr="008F3AB1">
            <w:rPr>
              <w:rFonts w:cs="Arial"/>
              <w:noProof/>
              <w:lang w:val="es-MX" w:eastAsia="es-ES"/>
            </w:rPr>
            <w:t xml:space="preserve"> (Unidad de Planificación Rural Agropecuaria, 2025)</w:t>
          </w:r>
          <w:r w:rsidRPr="008F3AB1">
            <w:rPr>
              <w:rFonts w:cs="Arial"/>
              <w:noProof/>
              <w:lang w:val="es-MX" w:eastAsia="es-ES"/>
            </w:rPr>
            <w:fldChar w:fldCharType="end"/>
          </w:r>
        </w:sdtContent>
      </w:sdt>
      <w:r w:rsidRPr="008F3AB1">
        <w:rPr>
          <w:rFonts w:cs="Arial"/>
          <w:noProof/>
          <w:lang w:val="es-MX" w:eastAsia="es-ES"/>
        </w:rPr>
        <w:t xml:space="preserve"> </w:t>
      </w:r>
      <w:r w:rsidRPr="008F3AB1">
        <w:rPr>
          <w:rFonts w:cs="Arial"/>
          <w:lang w:eastAsia="es-ES"/>
        </w:rPr>
        <w:t xml:space="preserve">, distribuidas principalmente en </w:t>
      </w:r>
      <w:r w:rsidRPr="008F3AB1">
        <w:rPr>
          <w:rFonts w:cs="Arial"/>
        </w:rPr>
        <w:t>los departamentos de Antioquia, Caldas y Tolima, que representan el 50% del total del área sembrada de aguacate en el país y Antioquia es el territorio con mayor producción con una participación del 20% del total nacional.</w:t>
      </w:r>
    </w:p>
    <w:bookmarkEnd w:id="3"/>
    <w:p w14:paraId="158E8125" w14:textId="77777777" w:rsidR="00827A41" w:rsidRPr="008F3AB1" w:rsidRDefault="00827A41" w:rsidP="00827A41">
      <w:pPr>
        <w:spacing w:beforeAutospacing="1" w:after="0"/>
        <w:textAlignment w:val="baseline"/>
        <w:rPr>
          <w:rFonts w:cs="Arial"/>
        </w:rPr>
      </w:pPr>
      <w:r w:rsidRPr="008F3AB1">
        <w:rPr>
          <w:rFonts w:cs="Arial"/>
        </w:rPr>
        <w:t>El crecimiento de las áreas destinadas al cultivo de aguacate ha generado preocupación en las regiones del país, principalmente en el Eje Cafetero, en donde se han identificado conflictos socioambientales generados entre la producción competitiva del aguacate y la protección y cuidado del patrimonio ambiental</w:t>
      </w:r>
      <w:sdt>
        <w:sdtPr>
          <w:rPr>
            <w:rFonts w:cs="Arial"/>
          </w:rPr>
          <w:id w:val="553117168"/>
          <w:placeholder>
            <w:docPart w:val="5E329409DE934EBBA7C0F89A23CC4147"/>
          </w:placeholder>
          <w:citation/>
        </w:sdtPr>
        <w:sdtContent>
          <w:r w:rsidRPr="008F3AB1">
            <w:rPr>
              <w:rFonts w:cs="Arial"/>
            </w:rPr>
            <w:fldChar w:fldCharType="begin"/>
          </w:r>
          <w:r w:rsidRPr="008F3AB1">
            <w:rPr>
              <w:rFonts w:cs="Arial"/>
            </w:rPr>
            <w:instrText xml:space="preserve"> CITATION ASO21 \l 9226 </w:instrText>
          </w:r>
          <w:r w:rsidRPr="008F3AB1">
            <w:rPr>
              <w:rFonts w:cs="Arial"/>
            </w:rPr>
            <w:fldChar w:fldCharType="separate"/>
          </w:r>
          <w:r w:rsidRPr="008F3AB1">
            <w:rPr>
              <w:rFonts w:cs="Arial"/>
              <w:noProof/>
            </w:rPr>
            <w:t xml:space="preserve"> (ASOCARS, 2021)</w:t>
          </w:r>
          <w:r w:rsidRPr="008F3AB1">
            <w:rPr>
              <w:rFonts w:cs="Arial"/>
            </w:rPr>
            <w:fldChar w:fldCharType="end"/>
          </w:r>
        </w:sdtContent>
      </w:sdt>
      <w:r w:rsidRPr="008F3AB1">
        <w:rPr>
          <w:rFonts w:cs="Arial"/>
        </w:rPr>
        <w:t xml:space="preserve">. </w:t>
      </w:r>
    </w:p>
    <w:p w14:paraId="16FD12A1" w14:textId="77777777" w:rsidR="00827A41" w:rsidRPr="008F3AB1" w:rsidRDefault="00827A41" w:rsidP="00827A41">
      <w:pPr>
        <w:rPr>
          <w:rFonts w:cs="Arial"/>
          <w:lang w:eastAsia="es-ES"/>
        </w:rPr>
      </w:pPr>
    </w:p>
    <w:p w14:paraId="05C06815" w14:textId="77777777" w:rsidR="00827A41" w:rsidRPr="008F3AB1" w:rsidRDefault="00827A41" w:rsidP="00827A41">
      <w:pPr>
        <w:spacing w:after="0"/>
        <w:textAlignment w:val="baseline"/>
        <w:rPr>
          <w:rFonts w:eastAsia="Times New Roman" w:cs="Arial"/>
          <w:lang w:eastAsia="zh-CN"/>
        </w:rPr>
      </w:pPr>
      <w:r w:rsidRPr="008F3AB1">
        <w:rPr>
          <w:rFonts w:eastAsia="Times New Roman" w:cs="Arial"/>
          <w:lang w:eastAsia="zh-CN"/>
        </w:rPr>
        <w:t>Desde las autoridades ambientales territoriales, se ha resaltado los conflictos asociados a la omisión del ordenamiento ambiental territorial y el establecimiento de cultivos de aguacate en áreas en las cuales no es permitida esta actividad, identificando establecimiento de cultivos en áreas ambientales protegidas como Parques Naturales, Reservas forestales y en áreas de relictos de Bosques asociados a Palma de Cera (</w:t>
      </w:r>
      <w:r w:rsidRPr="008F3AB1">
        <w:rPr>
          <w:rFonts w:eastAsia="Times New Roman" w:cs="Arial"/>
          <w:i/>
          <w:lang w:eastAsia="zh-CN"/>
        </w:rPr>
        <w:t>Ceroxylon quindiuense</w:t>
      </w:r>
      <w:r w:rsidRPr="008F3AB1">
        <w:rPr>
          <w:rFonts w:eastAsia="Times New Roman" w:cs="Arial"/>
          <w:lang w:eastAsia="zh-CN"/>
        </w:rPr>
        <w:t>), árbol nacional. </w:t>
      </w:r>
    </w:p>
    <w:p w14:paraId="4165ACF2" w14:textId="77777777" w:rsidR="00827A41" w:rsidRPr="008F3AB1" w:rsidRDefault="00827A41" w:rsidP="00827A41">
      <w:pPr>
        <w:rPr>
          <w:rFonts w:eastAsia="Times New Roman" w:cs="Arial"/>
          <w:lang w:eastAsia="zh-CN"/>
        </w:rPr>
      </w:pPr>
    </w:p>
    <w:p w14:paraId="74A8860B" w14:textId="77777777" w:rsidR="00827A41" w:rsidRPr="008F3AB1" w:rsidRDefault="00827A41" w:rsidP="00827A41">
      <w:pPr>
        <w:spacing w:after="0"/>
        <w:textAlignment w:val="baseline"/>
        <w:rPr>
          <w:rFonts w:eastAsia="Times New Roman" w:cs="Arial"/>
          <w:lang w:eastAsia="zh-CN"/>
        </w:rPr>
      </w:pPr>
      <w:r w:rsidRPr="008F3AB1">
        <w:rPr>
          <w:rFonts w:eastAsia="Times New Roman" w:cs="Arial"/>
          <w:lang w:eastAsia="zh-CN"/>
        </w:rPr>
        <w:t xml:space="preserve">El aumento de los cultivos de aguacate y sus actividades conexas en la región también se ha traducido en el aumento de conflictos socioambientales en torno al acceso al agua. El agua es un factor determinante para el sector agroalimentario: aguas de riego con alto contenido de sales y compuestos tóxicos, como plaguicidas o metales pesados, ponen en riesgo la inocuidad del producto, la salud de las personas y los animales, y el normal desarrollo de los cultivos </w:t>
      </w:r>
      <w:sdt>
        <w:sdtPr>
          <w:rPr>
            <w:rFonts w:eastAsia="Times New Roman" w:cs="Arial"/>
            <w:lang w:eastAsia="zh-CN"/>
          </w:rPr>
          <w:id w:val="-2091842144"/>
          <w:citation/>
        </w:sdtPr>
        <w:sdtContent>
          <w:r w:rsidRPr="008F3AB1">
            <w:rPr>
              <w:rFonts w:eastAsia="Times New Roman" w:cs="Arial"/>
              <w:lang w:eastAsia="zh-CN"/>
            </w:rPr>
            <w:fldChar w:fldCharType="begin"/>
          </w:r>
          <w:r w:rsidRPr="008F3AB1">
            <w:rPr>
              <w:rFonts w:eastAsia="Times New Roman" w:cs="Arial"/>
              <w:lang w:val="es-MX" w:eastAsia="zh-CN"/>
            </w:rPr>
            <w:instrText xml:space="preserve">CITATION Uni18 \l 2058 </w:instrText>
          </w:r>
          <w:r w:rsidRPr="008F3AB1">
            <w:rPr>
              <w:rFonts w:eastAsia="Times New Roman" w:cs="Arial"/>
              <w:lang w:eastAsia="zh-CN"/>
            </w:rPr>
            <w:fldChar w:fldCharType="separate"/>
          </w:r>
          <w:r w:rsidRPr="008F3AB1">
            <w:rPr>
              <w:rFonts w:eastAsia="Times New Roman" w:cs="Arial"/>
              <w:noProof/>
              <w:lang w:val="es-MX" w:eastAsia="zh-CN"/>
            </w:rPr>
            <w:t>(Unidad de Planificación Rural Agropecuaria - UPRA, 2018)</w:t>
          </w:r>
          <w:r w:rsidRPr="008F3AB1">
            <w:rPr>
              <w:rFonts w:eastAsia="Times New Roman" w:cs="Arial"/>
              <w:lang w:eastAsia="zh-CN"/>
            </w:rPr>
            <w:fldChar w:fldCharType="end"/>
          </w:r>
        </w:sdtContent>
      </w:sdt>
      <w:r w:rsidRPr="008F3AB1">
        <w:rPr>
          <w:rFonts w:eastAsia="Times New Roman" w:cs="Arial"/>
          <w:lang w:eastAsia="zh-CN"/>
        </w:rPr>
        <w:t>. De acuerdo con el Estudio Nacional del Agua a corte 2022, el sector agricultura y poscosecha es el que tiene la mayor demanda de recurso hídrico con un consumo anual de 13.985 de millones de m</w:t>
      </w:r>
      <w:r w:rsidRPr="008F3AB1">
        <w:rPr>
          <w:rFonts w:eastAsia="Times New Roman" w:cs="Arial"/>
          <w:vertAlign w:val="superscript"/>
          <w:lang w:eastAsia="zh-CN"/>
        </w:rPr>
        <w:t>3</w:t>
      </w:r>
      <w:r w:rsidRPr="008F3AB1">
        <w:rPr>
          <w:rFonts w:eastAsia="Times New Roman" w:cs="Arial"/>
          <w:lang w:eastAsia="zh-CN"/>
        </w:rPr>
        <w:t>, lo que corresponde al 12,9% del consumo sectorial del país</w:t>
      </w:r>
      <w:sdt>
        <w:sdtPr>
          <w:rPr>
            <w:rFonts w:eastAsia="Times New Roman" w:cs="Arial"/>
            <w:lang w:eastAsia="zh-CN"/>
          </w:rPr>
          <w:id w:val="2938031"/>
          <w:citation/>
        </w:sdtPr>
        <w:sdtContent>
          <w:r w:rsidRPr="008F3AB1">
            <w:rPr>
              <w:rFonts w:eastAsia="Times New Roman" w:cs="Arial"/>
              <w:lang w:eastAsia="zh-CN"/>
            </w:rPr>
            <w:fldChar w:fldCharType="begin"/>
          </w:r>
          <w:r w:rsidRPr="008F3AB1">
            <w:rPr>
              <w:rFonts w:eastAsia="Times New Roman" w:cs="Arial"/>
              <w:lang w:val="es-MX" w:eastAsia="zh-CN"/>
            </w:rPr>
            <w:instrText xml:space="preserve"> CITATION Ide23 \l 2058 </w:instrText>
          </w:r>
          <w:r w:rsidRPr="008F3AB1">
            <w:rPr>
              <w:rFonts w:eastAsia="Times New Roman" w:cs="Arial"/>
              <w:lang w:eastAsia="zh-CN"/>
            </w:rPr>
            <w:fldChar w:fldCharType="separate"/>
          </w:r>
          <w:r w:rsidRPr="008F3AB1">
            <w:rPr>
              <w:rFonts w:eastAsia="Times New Roman" w:cs="Arial"/>
              <w:noProof/>
              <w:lang w:val="es-MX" w:eastAsia="zh-CN"/>
            </w:rPr>
            <w:t xml:space="preserve"> (Ideam, 2023)</w:t>
          </w:r>
          <w:r w:rsidRPr="008F3AB1">
            <w:rPr>
              <w:rFonts w:eastAsia="Times New Roman" w:cs="Arial"/>
              <w:lang w:eastAsia="zh-CN"/>
            </w:rPr>
            <w:fldChar w:fldCharType="end"/>
          </w:r>
        </w:sdtContent>
      </w:sdt>
      <w:r w:rsidRPr="008F3AB1">
        <w:rPr>
          <w:rFonts w:eastAsia="Times New Roman" w:cs="Arial"/>
          <w:lang w:eastAsia="zh-CN"/>
        </w:rPr>
        <w:t xml:space="preserve">. </w:t>
      </w:r>
    </w:p>
    <w:p w14:paraId="002B54CD" w14:textId="77777777" w:rsidR="00827A41" w:rsidRPr="008F3AB1" w:rsidRDefault="00827A41" w:rsidP="00827A41">
      <w:pPr>
        <w:spacing w:after="0"/>
        <w:textAlignment w:val="baseline"/>
        <w:rPr>
          <w:rFonts w:eastAsia="Times New Roman" w:cs="Arial"/>
          <w:lang w:eastAsia="zh-CN"/>
        </w:rPr>
      </w:pPr>
    </w:p>
    <w:p w14:paraId="1960F93E" w14:textId="77777777" w:rsidR="00827A41" w:rsidRPr="008F3AB1" w:rsidRDefault="00827A41" w:rsidP="00827A41">
      <w:pPr>
        <w:spacing w:after="0"/>
        <w:textAlignment w:val="baseline"/>
        <w:rPr>
          <w:rFonts w:eastAsia="Times New Roman" w:cs="Arial"/>
          <w:lang w:eastAsia="zh-CN"/>
        </w:rPr>
      </w:pPr>
      <w:r w:rsidRPr="008F3AB1">
        <w:rPr>
          <w:rFonts w:eastAsia="Times New Roman" w:cs="Arial"/>
          <w:lang w:eastAsia="zh-CN"/>
        </w:rPr>
        <w:t xml:space="preserve">Considerando además que el mismo estudio presenta también las proyecciones para demanda hídrica estimada en los principales cultivos permanentes, indicando que se proyecta un crecimiento muy pronunciado para los cultivos de aguacate con un aumento de un 182% en su demanda, proyección realizada con base de las áreas proyectadas de </w:t>
      </w:r>
      <w:r w:rsidRPr="008F3AB1">
        <w:rPr>
          <w:rFonts w:eastAsia="Times New Roman" w:cs="Arial"/>
          <w:lang w:eastAsia="zh-CN"/>
        </w:rPr>
        <w:lastRenderedPageBreak/>
        <w:t>cultivo, esperando para el año 2040 una demanda hídrica anual de 222 millones de m</w:t>
      </w:r>
      <w:r w:rsidRPr="008F3AB1">
        <w:rPr>
          <w:rFonts w:eastAsia="Times New Roman" w:cs="Arial"/>
          <w:vertAlign w:val="superscript"/>
          <w:lang w:eastAsia="zh-CN"/>
        </w:rPr>
        <w:t>3</w:t>
      </w:r>
      <w:r w:rsidRPr="008F3AB1">
        <w:rPr>
          <w:rFonts w:eastAsia="Times New Roman" w:cs="Arial"/>
          <w:lang w:eastAsia="zh-CN"/>
        </w:rPr>
        <w:t>.</w:t>
      </w:r>
      <w:sdt>
        <w:sdtPr>
          <w:rPr>
            <w:rFonts w:eastAsia="Times New Roman" w:cs="Arial"/>
            <w:lang w:eastAsia="zh-CN"/>
          </w:rPr>
          <w:id w:val="1473644250"/>
        </w:sdtPr>
        <w:sdtContent>
          <w:r w:rsidRPr="008F3AB1">
            <w:rPr>
              <w:rFonts w:eastAsia="Times New Roman" w:cs="Arial"/>
              <w:lang w:eastAsia="zh-CN"/>
            </w:rPr>
            <w:fldChar w:fldCharType="begin"/>
          </w:r>
          <w:r w:rsidRPr="008F3AB1">
            <w:rPr>
              <w:rFonts w:eastAsia="Times New Roman" w:cs="Arial"/>
              <w:lang w:val="es-MX" w:eastAsia="zh-CN"/>
            </w:rPr>
            <w:instrText xml:space="preserve"> CITATION Ide23 \l 2058 </w:instrText>
          </w:r>
          <w:r w:rsidRPr="008F3AB1">
            <w:rPr>
              <w:rFonts w:eastAsia="Times New Roman" w:cs="Arial"/>
              <w:lang w:eastAsia="zh-CN"/>
            </w:rPr>
            <w:fldChar w:fldCharType="separate"/>
          </w:r>
          <w:r w:rsidRPr="008F3AB1">
            <w:rPr>
              <w:rFonts w:eastAsia="Times New Roman" w:cs="Arial"/>
              <w:noProof/>
              <w:lang w:val="es-MX" w:eastAsia="zh-CN"/>
            </w:rPr>
            <w:t xml:space="preserve"> (Ideam, 2023)</w:t>
          </w:r>
          <w:r w:rsidRPr="008F3AB1">
            <w:rPr>
              <w:rFonts w:eastAsia="Times New Roman" w:cs="Arial"/>
              <w:lang w:eastAsia="zh-CN"/>
            </w:rPr>
            <w:fldChar w:fldCharType="end"/>
          </w:r>
        </w:sdtContent>
      </w:sdt>
      <w:r w:rsidRPr="008F3AB1">
        <w:rPr>
          <w:rFonts w:eastAsia="Times New Roman" w:cs="Arial"/>
          <w:lang w:eastAsia="zh-CN"/>
        </w:rPr>
        <w:t>.</w:t>
      </w:r>
    </w:p>
    <w:p w14:paraId="38467EEA" w14:textId="77777777" w:rsidR="00827A41" w:rsidRPr="008F3AB1" w:rsidRDefault="00827A41" w:rsidP="00827A41">
      <w:pPr>
        <w:spacing w:after="0"/>
        <w:textAlignment w:val="baseline"/>
        <w:rPr>
          <w:rFonts w:eastAsia="Times New Roman" w:cs="Arial"/>
          <w:lang w:eastAsia="zh-CN"/>
        </w:rPr>
      </w:pPr>
      <w:r w:rsidRPr="008F3AB1">
        <w:rPr>
          <w:rFonts w:eastAsia="Times New Roman" w:cs="Arial"/>
          <w:lang w:eastAsia="zh-CN"/>
        </w:rPr>
        <w:t xml:space="preserve"> </w:t>
      </w:r>
    </w:p>
    <w:p w14:paraId="54EECBB5" w14:textId="77777777" w:rsidR="00827A41" w:rsidRPr="008F3AB1" w:rsidRDefault="00827A41" w:rsidP="00827A41">
      <w:pPr>
        <w:rPr>
          <w:rFonts w:cs="Arial"/>
          <w:lang w:eastAsia="es-ES"/>
        </w:rPr>
      </w:pPr>
      <w:r w:rsidRPr="008F3AB1">
        <w:rPr>
          <w:rFonts w:cs="Arial"/>
          <w:lang w:eastAsia="es-ES"/>
        </w:rPr>
        <w:t xml:space="preserve">De igual manera, durante la construcción de estos lineamientos, las organizaciones locales y procesos ambientales manifestaron su preocupación por la ubicación de cultivos de aguacate en áreas de importancia para la regulación del recurso hídrico y los impactos que puede generar el uso de agroquímicos en la calidad del agua, al igual que la posibilidad de que se prioricen las concesiones para los cultivos y se disminuya la disponibilidad de agua para el consumo humano. </w:t>
      </w:r>
    </w:p>
    <w:p w14:paraId="6809D357" w14:textId="77777777" w:rsidR="00827A41" w:rsidRPr="008F3AB1" w:rsidRDefault="00827A41" w:rsidP="00827A41">
      <w:pPr>
        <w:rPr>
          <w:rFonts w:cs="Arial"/>
          <w:lang w:eastAsia="es-ES"/>
        </w:rPr>
      </w:pPr>
      <w:r w:rsidRPr="008F3AB1">
        <w:rPr>
          <w:rFonts w:cs="Arial"/>
          <w:lang w:eastAsia="es-ES"/>
        </w:rPr>
        <w:t xml:space="preserve">Estos conflictos socioambientales se constituyen en retos para las Autoridades Ambientales Territoriales quienes de acuerdo con las competencias otorgadas por la Ley 99 de 1993, son las máximas autoridades ambientales en su jurisdicción y las administradoras de los recursos naturales, quienes cuentan con competencias para el control y vigilancia, junto con la ejecución de las políticas nacionales para el desarrollo sostenible. </w:t>
      </w:r>
    </w:p>
    <w:p w14:paraId="5BFDA2B8" w14:textId="77777777" w:rsidR="00827A41" w:rsidRPr="008F3AB1" w:rsidRDefault="00827A41" w:rsidP="00827A41">
      <w:pPr>
        <w:rPr>
          <w:rFonts w:cs="Arial"/>
          <w:lang w:eastAsia="es-ES"/>
        </w:rPr>
      </w:pPr>
      <w:r w:rsidRPr="008F3AB1">
        <w:rPr>
          <w:rFonts w:cs="Arial"/>
          <w:lang w:eastAsia="es-ES"/>
        </w:rPr>
        <w:t>En el establecimiento de cultivos de aguacate, las autoridad ambientales territoriales</w:t>
      </w:r>
      <w:r w:rsidRPr="008F3AB1" w:rsidDel="009C1849">
        <w:rPr>
          <w:rFonts w:cs="Arial"/>
          <w:lang w:eastAsia="es-ES"/>
        </w:rPr>
        <w:t xml:space="preserve"> </w:t>
      </w:r>
      <w:r w:rsidRPr="008F3AB1">
        <w:rPr>
          <w:rFonts w:cs="Arial"/>
          <w:lang w:eastAsia="es-ES"/>
        </w:rPr>
        <w:t xml:space="preserve">tienen participación en el marco de sus competencias, en el otorgamiento de permisos, concesiones y licencias para el uso de los recursos naturales que puedan ser requeridos en el funcionamientos de los cultivos e infraestructura conexa, todo a fin de garantizar el uso adecuado de los recursos naturales y el desarrollo sostenible, y en caso de no dar cumplimiento a la normatividad ambiental vigente, también debe generar los procesos sancionatorios. </w:t>
      </w:r>
    </w:p>
    <w:p w14:paraId="2C585F30" w14:textId="77777777" w:rsidR="00827A41" w:rsidRPr="008F3AB1" w:rsidRDefault="00827A41" w:rsidP="00827A41">
      <w:pPr>
        <w:rPr>
          <w:rFonts w:cs="Arial"/>
          <w:lang w:eastAsia="es-ES"/>
        </w:rPr>
      </w:pPr>
      <w:r w:rsidRPr="008F3AB1">
        <w:rPr>
          <w:rFonts w:cs="Arial"/>
          <w:lang w:eastAsia="es-ES"/>
        </w:rPr>
        <w:t xml:space="preserve">De igual manera, las autoridades ambientales territoriales tienen roles de articulación con las demás entidades territoriales para que, a través de la coordinación, educación y capacitación, se fomenten las buenas prácticas ambientales que aporten al desarrollo sostenible. </w:t>
      </w:r>
    </w:p>
    <w:p w14:paraId="55486EF5" w14:textId="3E2B00A4" w:rsidR="00827A41" w:rsidRPr="008F3AB1" w:rsidRDefault="00827A41" w:rsidP="00827A41">
      <w:pPr>
        <w:rPr>
          <w:rFonts w:cs="Arial"/>
          <w:lang w:eastAsia="es-ES"/>
        </w:rPr>
      </w:pPr>
      <w:r w:rsidRPr="008F3AB1">
        <w:rPr>
          <w:rFonts w:cs="Arial"/>
          <w:lang w:eastAsia="es-ES"/>
        </w:rPr>
        <w:t>Finalmente, los lineamientos deben ser tenidos en cuenta por las autoridades ambientales territoriales en la expedición de los permisos, concesiones o licenciamiento ambiental, tanto en las fases previas y de funcionamiento del cultivo de aguacate en todas sus variedades, a fin de fortalecer la apropiada incorporación de la dimensión ambiental en los instrumentos de planificación y ordenamiento territorial para la construcción de territorios sostenibles y resilientes.</w:t>
      </w:r>
    </w:p>
    <w:p w14:paraId="56D58186" w14:textId="77777777" w:rsidR="00827A41" w:rsidRPr="008F3AB1" w:rsidRDefault="00827A41" w:rsidP="00827A41">
      <w:pPr>
        <w:spacing w:line="259" w:lineRule="auto"/>
        <w:jc w:val="left"/>
        <w:rPr>
          <w:rFonts w:eastAsiaTheme="minorEastAsia" w:cs="Arial"/>
          <w:lang w:eastAsia="es-ES"/>
        </w:rPr>
      </w:pPr>
      <w:bookmarkStart w:id="4" w:name="_Toc104385033"/>
      <w:r w:rsidRPr="008F3AB1">
        <w:rPr>
          <w:rFonts w:eastAsiaTheme="minorEastAsia" w:cs="Arial"/>
          <w:lang w:eastAsia="es-ES"/>
        </w:rPr>
        <w:br w:type="page"/>
      </w:r>
    </w:p>
    <w:p w14:paraId="57D6C752" w14:textId="77777777" w:rsidR="00827A41" w:rsidRPr="008F3AB1" w:rsidRDefault="00827A41" w:rsidP="00827A41">
      <w:pPr>
        <w:spacing w:line="259" w:lineRule="auto"/>
        <w:jc w:val="left"/>
        <w:rPr>
          <w:rFonts w:eastAsiaTheme="minorEastAsia" w:cs="Arial"/>
          <w:b/>
          <w:sz w:val="24"/>
          <w:szCs w:val="32"/>
          <w:lang w:eastAsia="es-ES"/>
        </w:rPr>
      </w:pPr>
    </w:p>
    <w:p w14:paraId="65A9863B" w14:textId="77777777" w:rsidR="00827A41" w:rsidRPr="008F3AB1" w:rsidRDefault="00827A41" w:rsidP="005306CE">
      <w:pPr>
        <w:pStyle w:val="Ttulo1"/>
        <w:keepNext/>
        <w:keepLines/>
        <w:widowControl/>
        <w:numPr>
          <w:ilvl w:val="0"/>
          <w:numId w:val="43"/>
        </w:numPr>
        <w:autoSpaceDE/>
        <w:autoSpaceDN/>
        <w:spacing w:before="240"/>
        <w:rPr>
          <w:rFonts w:eastAsiaTheme="minorEastAsia"/>
          <w:lang w:val="es-ES_tradnl" w:eastAsia="es-ES"/>
        </w:rPr>
      </w:pPr>
      <w:bookmarkStart w:id="5" w:name="_Toc104385038"/>
      <w:bookmarkStart w:id="6" w:name="_Toc211877953"/>
      <w:bookmarkEnd w:id="4"/>
      <w:r w:rsidRPr="008F3AB1">
        <w:rPr>
          <w:rFonts w:eastAsiaTheme="minorEastAsia"/>
          <w:lang w:val="es-ES_tradnl" w:eastAsia="es-ES"/>
        </w:rPr>
        <w:t>LINEAMIENTOS AMBIENTALES</w:t>
      </w:r>
      <w:bookmarkEnd w:id="5"/>
      <w:bookmarkEnd w:id="6"/>
    </w:p>
    <w:p w14:paraId="338F5F6C" w14:textId="77777777" w:rsidR="00827A41" w:rsidRPr="008F3AB1" w:rsidRDefault="00827A41" w:rsidP="00827A41">
      <w:pPr>
        <w:rPr>
          <w:rFonts w:cs="Arial"/>
          <w:lang w:val="es-ES_tradnl" w:eastAsia="es-ES"/>
        </w:rPr>
      </w:pPr>
    </w:p>
    <w:p w14:paraId="1E4C91D8" w14:textId="77777777" w:rsidR="00827A41" w:rsidRPr="008F3AB1" w:rsidRDefault="00827A41" w:rsidP="005306CE">
      <w:pPr>
        <w:pStyle w:val="Ttulo1"/>
        <w:keepNext/>
        <w:keepLines/>
        <w:widowControl/>
        <w:numPr>
          <w:ilvl w:val="1"/>
          <w:numId w:val="43"/>
        </w:numPr>
        <w:autoSpaceDE/>
        <w:autoSpaceDN/>
        <w:spacing w:before="240"/>
        <w:rPr>
          <w:rFonts w:eastAsiaTheme="minorEastAsia"/>
          <w:lang w:val="es-ES_tradnl" w:eastAsia="es-ES"/>
        </w:rPr>
      </w:pPr>
      <w:bookmarkStart w:id="7" w:name="_Toc190973964"/>
      <w:bookmarkStart w:id="8" w:name="_Toc211877954"/>
      <w:r w:rsidRPr="008F3AB1">
        <w:rPr>
          <w:rFonts w:eastAsiaTheme="minorEastAsia"/>
          <w:lang w:val="es-ES_tradnl" w:eastAsia="es-ES"/>
        </w:rPr>
        <w:t>OBJETIVO DE LOS LINEAMIENTOS</w:t>
      </w:r>
      <w:bookmarkEnd w:id="7"/>
      <w:bookmarkEnd w:id="8"/>
    </w:p>
    <w:p w14:paraId="7A83DC9D" w14:textId="77777777" w:rsidR="00827A41" w:rsidRPr="008F3AB1" w:rsidRDefault="00827A41" w:rsidP="00827A41">
      <w:pPr>
        <w:rPr>
          <w:rFonts w:cs="Arial"/>
          <w:color w:val="202020"/>
        </w:rPr>
      </w:pPr>
    </w:p>
    <w:p w14:paraId="2FB36860" w14:textId="77777777" w:rsidR="00827A41" w:rsidRPr="008F3AB1" w:rsidRDefault="00827A41" w:rsidP="00827A41">
      <w:pPr>
        <w:rPr>
          <w:rFonts w:cs="Arial"/>
          <w:lang w:val="es-ES_tradnl" w:eastAsia="es-ES"/>
        </w:rPr>
      </w:pPr>
      <w:bookmarkStart w:id="9" w:name="_Hlk199239268"/>
      <w:r w:rsidRPr="008F3AB1">
        <w:rPr>
          <w:rFonts w:cs="Arial"/>
          <w:color w:val="202020"/>
        </w:rPr>
        <w:t xml:space="preserve">Los presentes lineamientos tienen como objetivo dar herramientas a las autoridades ambientales territoriales para el fortalecimiento de las funciones de control, vigilancia y administración de los recursos naturales, </w:t>
      </w:r>
      <w:r w:rsidRPr="008F3AB1">
        <w:rPr>
          <w:rFonts w:cs="Arial"/>
        </w:rPr>
        <w:t>mediante la unificación de criterios y requerimientos ambientales aplicables a la producción sostenible de cultivos de aguacate.</w:t>
      </w:r>
      <w:r w:rsidRPr="008F3AB1">
        <w:rPr>
          <w:rFonts w:cs="Arial"/>
          <w:color w:val="202020"/>
        </w:rPr>
        <w:t xml:space="preserve"> l, </w:t>
      </w:r>
    </w:p>
    <w:bookmarkEnd w:id="9"/>
    <w:p w14:paraId="10B7EFBD" w14:textId="1D10E1AC" w:rsidR="00827A41" w:rsidRPr="008F3AB1" w:rsidRDefault="00827A41" w:rsidP="00827A41">
      <w:pPr>
        <w:rPr>
          <w:rFonts w:cs="Arial"/>
          <w:color w:val="202020"/>
        </w:rPr>
      </w:pPr>
      <w:r w:rsidRPr="008F3AB1">
        <w:rPr>
          <w:rFonts w:cs="Arial"/>
          <w:lang w:eastAsia="es-ES"/>
        </w:rPr>
        <w:t xml:space="preserve">Estos lineamientos están dirigidos a las autoridades ambientales territoriales (Corporaciones Autónomas Regionales y de Desarrollo Sostenible y Autoridades Ambientales Urbanas), </w:t>
      </w:r>
      <w:r w:rsidRPr="008F3AB1">
        <w:rPr>
          <w:rFonts w:cs="Arial"/>
          <w:color w:val="202020"/>
        </w:rPr>
        <w:t xml:space="preserve">para ser utilizados de manera obligatoria como instrumentos de consulta y referentes conceptuales y metodológicos en la gestión ambiental de los cultivos presentes en sus jurisdicciones.  </w:t>
      </w:r>
      <w:r w:rsidRPr="008F3AB1">
        <w:rPr>
          <w:rFonts w:cs="Arial"/>
        </w:rPr>
        <w:t xml:space="preserve">Asimismo, buscan fortalecer la articulación con el sector </w:t>
      </w:r>
      <w:r w:rsidRPr="008F3AB1">
        <w:rPr>
          <w:rFonts w:cs="Arial"/>
          <w:lang w:eastAsia="es-ES"/>
        </w:rPr>
        <w:t>agricultura</w:t>
      </w:r>
      <w:r w:rsidRPr="008F3AB1">
        <w:rPr>
          <w:rFonts w:cs="Arial"/>
        </w:rPr>
        <w:t xml:space="preserve"> y las entidades territoriales, con el fin de promover y verificar prácticas de producción sostenible del aguacate en todas sus variedades, contribuyendo a la reducción de los impactos ambientales sobre la biodiversidad y los recursos hídricos.</w:t>
      </w:r>
    </w:p>
    <w:p w14:paraId="7B74D65C" w14:textId="77777777" w:rsidR="00827A41" w:rsidRPr="008F3AB1" w:rsidRDefault="00827A41" w:rsidP="005306CE">
      <w:pPr>
        <w:pStyle w:val="Ttulo1"/>
        <w:keepNext/>
        <w:keepLines/>
        <w:widowControl/>
        <w:numPr>
          <w:ilvl w:val="1"/>
          <w:numId w:val="43"/>
        </w:numPr>
        <w:autoSpaceDE/>
        <w:autoSpaceDN/>
        <w:spacing w:before="240"/>
        <w:rPr>
          <w:rFonts w:eastAsiaTheme="minorEastAsia"/>
          <w:lang w:val="es-ES_tradnl" w:eastAsia="es-ES"/>
        </w:rPr>
      </w:pPr>
      <w:bookmarkStart w:id="10" w:name="_Toc211877955"/>
      <w:r w:rsidRPr="008F3AB1">
        <w:rPr>
          <w:rFonts w:eastAsiaTheme="minorEastAsia"/>
          <w:lang w:val="es-ES_tradnl" w:eastAsia="es-ES"/>
        </w:rPr>
        <w:t xml:space="preserve">PRINCIPIOS RECTORES </w:t>
      </w:r>
      <w:bookmarkEnd w:id="10"/>
    </w:p>
    <w:p w14:paraId="4C508A2C" w14:textId="77777777" w:rsidR="00827A41" w:rsidRPr="008F3AB1" w:rsidRDefault="00827A41" w:rsidP="00827A41">
      <w:pPr>
        <w:rPr>
          <w:rFonts w:cs="Arial"/>
          <w:lang w:eastAsia="es-ES"/>
        </w:rPr>
      </w:pPr>
    </w:p>
    <w:p w14:paraId="48D19279" w14:textId="77777777" w:rsidR="00827A41" w:rsidRPr="008F3AB1" w:rsidRDefault="00827A41" w:rsidP="00827A41">
      <w:pPr>
        <w:pStyle w:val="Default"/>
        <w:jc w:val="both"/>
        <w:rPr>
          <w:sz w:val="22"/>
          <w:szCs w:val="22"/>
          <w:lang w:val="es-ES" w:eastAsia="es-ES"/>
        </w:rPr>
      </w:pPr>
      <w:r w:rsidRPr="008F3AB1">
        <w:rPr>
          <w:sz w:val="22"/>
          <w:szCs w:val="22"/>
          <w:lang w:val="es-ES" w:eastAsia="es-ES"/>
        </w:rPr>
        <w:t>La formulación e implementación de los lineamientos ambientales para la producción sostenible del aguacate (</w:t>
      </w:r>
      <w:r w:rsidRPr="008F3AB1">
        <w:rPr>
          <w:i/>
          <w:iCs/>
          <w:sz w:val="22"/>
          <w:szCs w:val="22"/>
          <w:lang w:val="es-ES" w:eastAsia="es-ES"/>
        </w:rPr>
        <w:t>Persea</w:t>
      </w:r>
      <w:r w:rsidRPr="008F3AB1">
        <w:rPr>
          <w:sz w:val="22"/>
          <w:szCs w:val="22"/>
          <w:lang w:val="es-ES" w:eastAsia="es-ES"/>
        </w:rPr>
        <w:t xml:space="preserve"> </w:t>
      </w:r>
      <w:r w:rsidRPr="008F3AB1">
        <w:rPr>
          <w:i/>
          <w:iCs/>
          <w:sz w:val="22"/>
          <w:szCs w:val="22"/>
          <w:lang w:val="es-ES" w:eastAsia="es-ES"/>
        </w:rPr>
        <w:t>americana</w:t>
      </w:r>
      <w:r w:rsidRPr="008F3AB1">
        <w:rPr>
          <w:sz w:val="22"/>
          <w:szCs w:val="22"/>
          <w:lang w:val="es-ES" w:eastAsia="es-ES"/>
        </w:rPr>
        <w:t xml:space="preserve"> Mill.), se encuentran basados en los principios ambientales generales contenidos en la política ambiental colombiana de acuerdo con la Ley 99 de 1993, entre los cuales se destacan:</w:t>
      </w:r>
    </w:p>
    <w:p w14:paraId="2AED19A7" w14:textId="77777777" w:rsidR="00827A41" w:rsidRPr="008F3AB1" w:rsidRDefault="00827A41" w:rsidP="00827A41">
      <w:pPr>
        <w:pStyle w:val="Default"/>
        <w:jc w:val="both"/>
        <w:rPr>
          <w:sz w:val="22"/>
          <w:szCs w:val="22"/>
          <w:lang w:val="es-ES_tradnl" w:eastAsia="es-ES"/>
        </w:rPr>
      </w:pPr>
    </w:p>
    <w:p w14:paraId="64FDF282" w14:textId="77777777" w:rsidR="00827A41" w:rsidRPr="008F3AB1" w:rsidRDefault="00827A41" w:rsidP="005306CE">
      <w:pPr>
        <w:pStyle w:val="Default"/>
        <w:numPr>
          <w:ilvl w:val="0"/>
          <w:numId w:val="39"/>
        </w:numPr>
        <w:jc w:val="both"/>
        <w:rPr>
          <w:sz w:val="22"/>
          <w:szCs w:val="22"/>
          <w:lang w:val="es-ES_tradnl"/>
        </w:rPr>
      </w:pPr>
      <w:r w:rsidRPr="008F3AB1">
        <w:rPr>
          <w:sz w:val="22"/>
          <w:szCs w:val="22"/>
          <w:lang w:val="es-ES_tradnl"/>
        </w:rPr>
        <w:t xml:space="preserve">La biodiversidad del país, por ser patrimonio nacional y de interés de la humanidad, deberá ser protegida prioritariamente y aprovechada en forma sostenible. </w:t>
      </w:r>
    </w:p>
    <w:p w14:paraId="7D4D5311" w14:textId="77777777" w:rsidR="00827A41" w:rsidRPr="008F3AB1" w:rsidRDefault="00827A41" w:rsidP="00827A41">
      <w:pPr>
        <w:pStyle w:val="Default"/>
        <w:ind w:left="720"/>
        <w:jc w:val="both"/>
        <w:rPr>
          <w:sz w:val="22"/>
          <w:szCs w:val="22"/>
          <w:lang w:val="es-ES_tradnl"/>
        </w:rPr>
      </w:pPr>
    </w:p>
    <w:p w14:paraId="1A78BE52" w14:textId="77777777" w:rsidR="00827A41" w:rsidRPr="008F3AB1" w:rsidRDefault="00827A41" w:rsidP="005306CE">
      <w:pPr>
        <w:pStyle w:val="Textocomentario"/>
        <w:widowControl/>
        <w:numPr>
          <w:ilvl w:val="0"/>
          <w:numId w:val="39"/>
        </w:numPr>
        <w:autoSpaceDE/>
        <w:autoSpaceDN/>
        <w:spacing w:after="160"/>
        <w:rPr>
          <w:rFonts w:cs="Arial"/>
          <w:sz w:val="22"/>
        </w:rPr>
      </w:pPr>
      <w:r w:rsidRPr="008F3AB1">
        <w:rPr>
          <w:rFonts w:cs="Arial"/>
          <w:sz w:val="22"/>
        </w:rPr>
        <w:t>La naturaleza no puede ser víctima de las posiciones de poder y conflicto</w:t>
      </w:r>
    </w:p>
    <w:p w14:paraId="252A0F1B" w14:textId="77777777" w:rsidR="00827A41" w:rsidRPr="008F3AB1" w:rsidRDefault="00827A41" w:rsidP="005306CE">
      <w:pPr>
        <w:pStyle w:val="Default"/>
        <w:numPr>
          <w:ilvl w:val="0"/>
          <w:numId w:val="39"/>
        </w:numPr>
        <w:jc w:val="both"/>
        <w:rPr>
          <w:sz w:val="22"/>
          <w:szCs w:val="22"/>
          <w:lang w:val="es-ES_tradnl" w:eastAsia="es-ES"/>
        </w:rPr>
      </w:pPr>
      <w:r w:rsidRPr="008F3AB1">
        <w:rPr>
          <w:sz w:val="22"/>
          <w:szCs w:val="22"/>
          <w:lang w:val="es-ES_tradnl"/>
        </w:rPr>
        <w:t>Las políticas de población tendrán en cuenta el derecho de los seres humanos a una vida saludable y productiva en armonía con la naturaleza.</w:t>
      </w:r>
    </w:p>
    <w:p w14:paraId="599244F1" w14:textId="77777777" w:rsidR="00827A41" w:rsidRPr="008F3AB1" w:rsidRDefault="00827A41" w:rsidP="00827A41">
      <w:pPr>
        <w:pStyle w:val="Default"/>
        <w:jc w:val="both"/>
        <w:rPr>
          <w:sz w:val="22"/>
          <w:szCs w:val="22"/>
          <w:lang w:val="es-ES_tradnl" w:eastAsia="es-ES"/>
        </w:rPr>
      </w:pPr>
    </w:p>
    <w:p w14:paraId="5B6BABFD" w14:textId="77777777" w:rsidR="00827A41" w:rsidRPr="008F3AB1" w:rsidRDefault="00827A41" w:rsidP="005306CE">
      <w:pPr>
        <w:pStyle w:val="Default"/>
        <w:numPr>
          <w:ilvl w:val="0"/>
          <w:numId w:val="38"/>
        </w:numPr>
        <w:jc w:val="both"/>
        <w:rPr>
          <w:sz w:val="22"/>
          <w:szCs w:val="22"/>
          <w:lang w:val="es-ES_tradnl" w:eastAsia="es-ES"/>
        </w:rPr>
      </w:pPr>
      <w:r w:rsidRPr="008F3AB1">
        <w:rPr>
          <w:sz w:val="22"/>
          <w:szCs w:val="22"/>
          <w:lang w:val="es-ES_tradnl" w:eastAsia="es-ES"/>
        </w:rPr>
        <w:t>En la utilización del agua, el consumo humano tendrá prioridad sobre cualquier otro uso.</w:t>
      </w:r>
    </w:p>
    <w:p w14:paraId="4CB1EBF7" w14:textId="77777777" w:rsidR="00827A41" w:rsidRPr="008F3AB1" w:rsidRDefault="00827A41" w:rsidP="00827A41">
      <w:pPr>
        <w:pStyle w:val="Default"/>
        <w:jc w:val="both"/>
        <w:rPr>
          <w:sz w:val="22"/>
          <w:szCs w:val="22"/>
          <w:lang w:val="es-ES_tradnl" w:eastAsia="es-ES"/>
        </w:rPr>
      </w:pPr>
    </w:p>
    <w:p w14:paraId="60B64183" w14:textId="77777777" w:rsidR="00827A41" w:rsidRPr="008F3AB1" w:rsidRDefault="00827A41" w:rsidP="005306CE">
      <w:pPr>
        <w:pStyle w:val="Default"/>
        <w:numPr>
          <w:ilvl w:val="0"/>
          <w:numId w:val="38"/>
        </w:numPr>
        <w:jc w:val="both"/>
        <w:rPr>
          <w:sz w:val="22"/>
          <w:szCs w:val="22"/>
          <w:lang w:val="es-ES_tradnl" w:eastAsia="es-ES"/>
        </w:rPr>
      </w:pPr>
      <w:r w:rsidRPr="008F3AB1">
        <w:rPr>
          <w:sz w:val="22"/>
          <w:szCs w:val="22"/>
          <w:lang w:val="es-ES_tradnl"/>
        </w:rPr>
        <w:t>El paisaje por ser patrimonio común deberá ser protegido.</w:t>
      </w:r>
    </w:p>
    <w:p w14:paraId="4AFC362D" w14:textId="77777777" w:rsidR="00827A41" w:rsidRPr="008F3AB1" w:rsidRDefault="00827A41" w:rsidP="00827A41">
      <w:pPr>
        <w:pStyle w:val="Default"/>
        <w:jc w:val="both"/>
        <w:rPr>
          <w:sz w:val="22"/>
          <w:szCs w:val="22"/>
          <w:lang w:val="es-ES_tradnl" w:eastAsia="es-ES"/>
        </w:rPr>
      </w:pPr>
    </w:p>
    <w:p w14:paraId="48B7324A" w14:textId="77777777" w:rsidR="00827A41" w:rsidRPr="008F3AB1" w:rsidRDefault="00827A41" w:rsidP="00827A41">
      <w:pPr>
        <w:pStyle w:val="Default"/>
        <w:jc w:val="both"/>
        <w:rPr>
          <w:sz w:val="22"/>
          <w:szCs w:val="22"/>
          <w:lang w:val="es-ES_tradnl" w:eastAsia="es-ES"/>
        </w:rPr>
      </w:pPr>
    </w:p>
    <w:p w14:paraId="371127D6" w14:textId="77777777" w:rsidR="00827A41" w:rsidRPr="008F3AB1" w:rsidRDefault="00827A41" w:rsidP="00827A41">
      <w:pPr>
        <w:pStyle w:val="Default"/>
        <w:jc w:val="both"/>
        <w:rPr>
          <w:sz w:val="22"/>
          <w:szCs w:val="22"/>
          <w:lang w:val="es-ES" w:eastAsia="es-ES"/>
        </w:rPr>
      </w:pPr>
      <w:r w:rsidRPr="008F3AB1">
        <w:rPr>
          <w:sz w:val="22"/>
          <w:szCs w:val="22"/>
          <w:lang w:val="es-ES" w:eastAsia="es-ES"/>
        </w:rPr>
        <w:t xml:space="preserve">En este mismo sentido, estos lineamientos se enmarcan en principios rectores planteados en la Política de producción y consumo sostenible, para su aplicación en la producción de aguacate en todas sus variedades, entendidos como: </w:t>
      </w:r>
    </w:p>
    <w:p w14:paraId="28320640" w14:textId="77777777" w:rsidR="00827A41" w:rsidRPr="008F3AB1" w:rsidRDefault="00827A41" w:rsidP="00827A41">
      <w:pPr>
        <w:pStyle w:val="Default"/>
      </w:pPr>
    </w:p>
    <w:p w14:paraId="22267FFF" w14:textId="77777777" w:rsidR="00827A41" w:rsidRPr="008F3AB1" w:rsidRDefault="00827A41" w:rsidP="005306CE">
      <w:pPr>
        <w:pStyle w:val="Prrafodelista"/>
        <w:widowControl/>
        <w:numPr>
          <w:ilvl w:val="0"/>
          <w:numId w:val="40"/>
        </w:numPr>
        <w:autoSpaceDE/>
        <w:autoSpaceDN/>
        <w:spacing w:after="160"/>
        <w:contextualSpacing/>
        <w:rPr>
          <w:lang w:val="es-MX" w:eastAsia="es-ES"/>
        </w:rPr>
      </w:pPr>
      <w:r w:rsidRPr="008F3AB1">
        <w:rPr>
          <w:b/>
          <w:lang w:val="es-MX" w:eastAsia="es-ES"/>
        </w:rPr>
        <w:lastRenderedPageBreak/>
        <w:t>Ética:</w:t>
      </w:r>
      <w:r w:rsidRPr="008F3AB1">
        <w:rPr>
          <w:lang w:val="es-MX" w:eastAsia="es-ES"/>
        </w:rPr>
        <w:t xml:space="preserve"> la ética como principio dirigido a todos los seres humanos, se aplica universalmente y comprende la conservación del ambiente, la salud pública y el bienestar de la sociedad.</w:t>
      </w:r>
    </w:p>
    <w:p w14:paraId="3A091CB3" w14:textId="77777777" w:rsidR="00827A41" w:rsidRPr="008F3AB1" w:rsidRDefault="00827A41" w:rsidP="00827A41">
      <w:pPr>
        <w:pStyle w:val="Prrafodelista"/>
        <w:rPr>
          <w:lang w:val="es-MX" w:eastAsia="es-ES"/>
        </w:rPr>
      </w:pPr>
    </w:p>
    <w:p w14:paraId="0A9EC850" w14:textId="77777777" w:rsidR="00827A41" w:rsidRPr="008F3AB1" w:rsidRDefault="00827A41" w:rsidP="005306CE">
      <w:pPr>
        <w:pStyle w:val="Prrafodelista"/>
        <w:widowControl/>
        <w:numPr>
          <w:ilvl w:val="0"/>
          <w:numId w:val="40"/>
        </w:numPr>
        <w:autoSpaceDE/>
        <w:autoSpaceDN/>
        <w:spacing w:after="160"/>
        <w:contextualSpacing/>
        <w:rPr>
          <w:lang w:val="es-MX" w:eastAsia="es-ES"/>
        </w:rPr>
      </w:pPr>
      <w:r w:rsidRPr="008F3AB1">
        <w:rPr>
          <w:b/>
          <w:lang w:val="es-MX" w:eastAsia="es-ES"/>
        </w:rPr>
        <w:t>Cumplimiento de las normas:</w:t>
      </w:r>
      <w:r w:rsidRPr="008F3AB1">
        <w:rPr>
          <w:lang w:val="es-MX" w:eastAsia="es-ES"/>
        </w:rPr>
        <w:t xml:space="preserve"> la normatividad ambiental es de orden público y su aplicación no podrá ser objeto de intercambio, de renuncia por parte de las autoridades o los particulares. Por ende, los diferentes actores involucrados en el desarrollo de las acciones relacionadas con estos lineamientos asumen y se comprometen con su propia legitimidad. </w:t>
      </w:r>
    </w:p>
    <w:p w14:paraId="08774AE8" w14:textId="77777777" w:rsidR="00827A41" w:rsidRPr="008F3AB1" w:rsidRDefault="00827A41" w:rsidP="00827A41">
      <w:pPr>
        <w:pStyle w:val="Prrafodelista"/>
        <w:rPr>
          <w:lang w:val="es-MX" w:eastAsia="es-ES"/>
        </w:rPr>
      </w:pPr>
    </w:p>
    <w:p w14:paraId="63814F57" w14:textId="77777777" w:rsidR="00827A41" w:rsidRPr="008F3AB1" w:rsidRDefault="00827A41" w:rsidP="005306CE">
      <w:pPr>
        <w:pStyle w:val="Prrafodelista"/>
        <w:widowControl/>
        <w:numPr>
          <w:ilvl w:val="0"/>
          <w:numId w:val="40"/>
        </w:numPr>
        <w:autoSpaceDE/>
        <w:autoSpaceDN/>
        <w:spacing w:after="160"/>
        <w:contextualSpacing/>
        <w:rPr>
          <w:lang w:val="es-MX" w:eastAsia="es-ES"/>
        </w:rPr>
      </w:pPr>
      <w:r w:rsidRPr="008F3AB1">
        <w:rPr>
          <w:b/>
          <w:lang w:val="es-MX" w:eastAsia="es-ES"/>
        </w:rPr>
        <w:t>Transparencia:</w:t>
      </w:r>
      <w:r w:rsidRPr="008F3AB1">
        <w:rPr>
          <w:lang w:val="es-MX" w:eastAsia="es-ES"/>
        </w:rPr>
        <w:t xml:space="preserve"> la información de modificación, avances y desarrollos concernientes con la producción sostenible del aguacate en todas sus variedades debe ser clara y verificable por las partes interesadas.</w:t>
      </w:r>
    </w:p>
    <w:p w14:paraId="72CDAB1F" w14:textId="77777777" w:rsidR="00827A41" w:rsidRPr="008F3AB1" w:rsidRDefault="00827A41" w:rsidP="00827A41">
      <w:pPr>
        <w:pStyle w:val="Prrafodelista"/>
        <w:rPr>
          <w:lang w:val="es-MX" w:eastAsia="es-ES"/>
        </w:rPr>
      </w:pPr>
    </w:p>
    <w:p w14:paraId="572AC164" w14:textId="77777777" w:rsidR="00827A41" w:rsidRPr="008F3AB1" w:rsidRDefault="00827A41" w:rsidP="005306CE">
      <w:pPr>
        <w:pStyle w:val="Prrafodelista"/>
        <w:widowControl/>
        <w:numPr>
          <w:ilvl w:val="0"/>
          <w:numId w:val="40"/>
        </w:numPr>
        <w:autoSpaceDE/>
        <w:autoSpaceDN/>
        <w:spacing w:after="160"/>
        <w:contextualSpacing/>
        <w:rPr>
          <w:lang w:val="es-MX" w:eastAsia="es-ES"/>
        </w:rPr>
      </w:pPr>
      <w:r w:rsidRPr="008F3AB1">
        <w:rPr>
          <w:b/>
          <w:lang w:val="es-MX" w:eastAsia="es-ES"/>
        </w:rPr>
        <w:t>Participación pública:</w:t>
      </w:r>
      <w:r w:rsidRPr="008F3AB1">
        <w:rPr>
          <w:lang w:val="es-MX" w:eastAsia="es-ES"/>
        </w:rPr>
        <w:t xml:space="preserve"> la participación pública de los diferentes actores privados, públicos, sociales y autoridades ambientales son la base para la concepción de una cultura de producción sostenible del aguacate en todas sus variedades.</w:t>
      </w:r>
    </w:p>
    <w:p w14:paraId="1E4A005B" w14:textId="77777777" w:rsidR="00827A41" w:rsidRPr="008F3AB1" w:rsidRDefault="00827A41" w:rsidP="00827A41">
      <w:pPr>
        <w:pStyle w:val="Prrafodelista"/>
        <w:rPr>
          <w:lang w:val="es-MX" w:eastAsia="es-ES"/>
        </w:rPr>
      </w:pPr>
      <w:r w:rsidRPr="008F3AB1">
        <w:rPr>
          <w:lang w:val="es-MX" w:eastAsia="es-ES"/>
        </w:rPr>
        <w:t xml:space="preserve"> </w:t>
      </w:r>
    </w:p>
    <w:p w14:paraId="17FC7389" w14:textId="77777777" w:rsidR="00827A41" w:rsidRPr="008F3AB1" w:rsidRDefault="00827A41" w:rsidP="005306CE">
      <w:pPr>
        <w:pStyle w:val="Prrafodelista"/>
        <w:widowControl/>
        <w:numPr>
          <w:ilvl w:val="0"/>
          <w:numId w:val="40"/>
        </w:numPr>
        <w:autoSpaceDE/>
        <w:autoSpaceDN/>
        <w:spacing w:after="160"/>
        <w:contextualSpacing/>
        <w:rPr>
          <w:lang w:val="es-MX" w:eastAsia="es-ES"/>
        </w:rPr>
      </w:pPr>
      <w:r w:rsidRPr="008F3AB1">
        <w:rPr>
          <w:b/>
          <w:lang w:val="es-MX" w:eastAsia="es-ES"/>
        </w:rPr>
        <w:t>Colaboración:</w:t>
      </w:r>
      <w:r w:rsidRPr="008F3AB1">
        <w:rPr>
          <w:lang w:val="es-MX" w:eastAsia="es-ES"/>
        </w:rPr>
        <w:t xml:space="preserve"> estos lineamientos articulan los esfuerzos desarrollados por las Autoridades ambientales territoriales, sector público, sector privado y los diversos actores y/o procesos sociales relacionados con la producción del aguacate en todas sus variedades. El trabajo conjunto y acompañamiento hacia objetivos comunes, es un elemento fundamental para alcanzar los objetivos planteados.</w:t>
      </w:r>
    </w:p>
    <w:p w14:paraId="4AE90564" w14:textId="77777777" w:rsidR="00827A41" w:rsidRPr="008F3AB1" w:rsidRDefault="00827A41" w:rsidP="00827A41">
      <w:pPr>
        <w:pStyle w:val="Prrafodelista"/>
        <w:rPr>
          <w:lang w:val="es-MX" w:eastAsia="es-ES"/>
        </w:rPr>
      </w:pPr>
    </w:p>
    <w:p w14:paraId="6880B720" w14:textId="77777777" w:rsidR="00827A41" w:rsidRPr="008F3AB1" w:rsidRDefault="00827A41" w:rsidP="005306CE">
      <w:pPr>
        <w:pStyle w:val="Prrafodelista"/>
        <w:widowControl/>
        <w:numPr>
          <w:ilvl w:val="0"/>
          <w:numId w:val="40"/>
        </w:numPr>
        <w:autoSpaceDE/>
        <w:autoSpaceDN/>
        <w:spacing w:after="160"/>
        <w:contextualSpacing/>
        <w:rPr>
          <w:b/>
          <w:bCs/>
          <w:lang w:val="es-MX" w:eastAsia="es-ES"/>
        </w:rPr>
      </w:pPr>
      <w:r w:rsidRPr="008F3AB1">
        <w:rPr>
          <w:b/>
          <w:bCs/>
          <w:lang w:val="es-MX" w:eastAsia="es-ES"/>
        </w:rPr>
        <w:t xml:space="preserve">Gestión de conflictos socio ambientales: </w:t>
      </w:r>
      <w:r w:rsidRPr="008F3AB1">
        <w:rPr>
          <w:rFonts w:eastAsia="Times New Roman"/>
          <w:lang w:val="es-MX"/>
        </w:rPr>
        <w:t>Un conflicto socio ambiental se describe como una situación de tensión en la que se evidencian visiones opuestas entre dos o más actores sobre la valoración de la naturaleza y el acceso, uso y gestión de la naturaleza, que se manifiesta en situaciones de confrontación en un territorio determinado. El conflicto se puede derivar de una problemática ambiental no resuelta. Los conflictos ambientales son una prioridad en</w:t>
      </w:r>
      <w:r w:rsidRPr="008F3AB1">
        <w:rPr>
          <w:rFonts w:eastAsia="Times New Roman"/>
          <w:u w:val="single"/>
          <w:lang w:val="es-MX"/>
        </w:rPr>
        <w:t xml:space="preserve"> </w:t>
      </w:r>
      <w:r w:rsidRPr="008F3AB1">
        <w:rPr>
          <w:rFonts w:eastAsia="Times New Roman"/>
          <w:lang w:val="es-MX"/>
        </w:rPr>
        <w:t xml:space="preserve">la gestión actual del Ministerio de Ambiente y Desarrollo Sostenible, y en ese sentido, estos lineamientos buscan promover mecanismos para la gestión de los conflictos asociados con el aumento de los cultivos de aguacate </w:t>
      </w:r>
    </w:p>
    <w:p w14:paraId="2CFE32BF" w14:textId="77777777" w:rsidR="00827A41" w:rsidRPr="008F3AB1" w:rsidRDefault="00827A41" w:rsidP="005306CE">
      <w:pPr>
        <w:pStyle w:val="Ttulo1"/>
        <w:keepNext/>
        <w:keepLines/>
        <w:widowControl/>
        <w:numPr>
          <w:ilvl w:val="1"/>
          <w:numId w:val="43"/>
        </w:numPr>
        <w:autoSpaceDE/>
        <w:autoSpaceDN/>
        <w:spacing w:before="240"/>
        <w:rPr>
          <w:rFonts w:eastAsiaTheme="minorEastAsia"/>
          <w:lang w:val="es-ES_tradnl" w:eastAsia="es-ES"/>
        </w:rPr>
      </w:pPr>
      <w:bookmarkStart w:id="11" w:name="_Toc190941710"/>
      <w:bookmarkStart w:id="12" w:name="_Toc211877956"/>
      <w:bookmarkEnd w:id="11"/>
      <w:r w:rsidRPr="008F3AB1">
        <w:rPr>
          <w:rFonts w:eastAsiaTheme="minorEastAsia"/>
          <w:lang w:val="es-ES_tradnl" w:eastAsia="es-ES"/>
        </w:rPr>
        <w:t>ÁMBITO DE APLICACIÓN DE LOS LINEAMIENTOS</w:t>
      </w:r>
      <w:bookmarkEnd w:id="12"/>
    </w:p>
    <w:p w14:paraId="2EEDA759" w14:textId="77777777" w:rsidR="00827A41" w:rsidRPr="008F3AB1" w:rsidRDefault="00827A41" w:rsidP="00827A41">
      <w:pPr>
        <w:rPr>
          <w:rFonts w:cs="Arial"/>
          <w:lang w:val="es-ES_tradnl" w:eastAsia="es-ES"/>
        </w:rPr>
      </w:pPr>
    </w:p>
    <w:p w14:paraId="6E39D2A0" w14:textId="77777777" w:rsidR="00827A41" w:rsidRPr="008F3AB1" w:rsidRDefault="00827A41" w:rsidP="00827A41">
      <w:pPr>
        <w:rPr>
          <w:rFonts w:cs="Arial"/>
          <w:lang w:eastAsia="es-ES"/>
        </w:rPr>
      </w:pPr>
      <w:r w:rsidRPr="008F3AB1">
        <w:rPr>
          <w:rFonts w:cs="Arial"/>
          <w:lang w:eastAsia="es-ES"/>
        </w:rPr>
        <w:t>Los lineamientos objeto de este documento técnico van dirigidos a las autoridades ambientales territoriales, cuando se presenten en su jurisdicción, la solicitud de licencias, permisos u autorizaciones asociados a proyectos, obras o actividades relacionadas con el establecimiento, implementación u operación de cultivos de aguacate en todas sus variedades para su producción o infraestructura asociada al cultivo, en el territorio nacional.</w:t>
      </w:r>
    </w:p>
    <w:p w14:paraId="3B524766" w14:textId="77777777" w:rsidR="00827A41" w:rsidRPr="008F3AB1" w:rsidRDefault="00827A41" w:rsidP="00827A41">
      <w:pPr>
        <w:rPr>
          <w:rFonts w:cs="Arial"/>
          <w:lang w:eastAsia="es-ES"/>
        </w:rPr>
      </w:pPr>
      <w:r w:rsidRPr="008F3AB1">
        <w:rPr>
          <w:rFonts w:cs="Arial"/>
          <w:lang w:eastAsia="es-ES"/>
        </w:rPr>
        <w:t>Esto en el marco de lo establecido en el artículo 125 del Decreto Ley 2106 de 2019, que prohíbe exigir requisitos y procedimientos que no estén previstos en la norma, a fin de garantizar y facilitar a los ciudadanos usuarios del Estado, el acceso a sus derechos entre ellos a los trámites administrativos, reduciendo costos, tiempos, documentos, procesos y pasos en su interacción con las entidades públicas.</w:t>
      </w:r>
    </w:p>
    <w:p w14:paraId="5E89F6E2" w14:textId="77777777" w:rsidR="00827A41" w:rsidRPr="008F3AB1" w:rsidRDefault="00827A41" w:rsidP="00827A41">
      <w:pPr>
        <w:rPr>
          <w:rFonts w:cs="Arial"/>
          <w:lang w:eastAsia="es-ES"/>
        </w:rPr>
      </w:pPr>
    </w:p>
    <w:p w14:paraId="6DD12C57" w14:textId="77777777" w:rsidR="00827A41" w:rsidRPr="008F3AB1" w:rsidRDefault="00827A41" w:rsidP="005306CE">
      <w:pPr>
        <w:pStyle w:val="Ttulo1"/>
        <w:keepNext/>
        <w:keepLines/>
        <w:widowControl/>
        <w:numPr>
          <w:ilvl w:val="1"/>
          <w:numId w:val="43"/>
        </w:numPr>
        <w:autoSpaceDE/>
        <w:autoSpaceDN/>
        <w:spacing w:before="240"/>
        <w:rPr>
          <w:rFonts w:eastAsiaTheme="minorEastAsia"/>
          <w:lang w:val="es-ES_tradnl" w:eastAsia="es-ES"/>
        </w:rPr>
      </w:pPr>
      <w:bookmarkStart w:id="13" w:name="_Ref190984611"/>
      <w:bookmarkStart w:id="14" w:name="_Ref190984615"/>
      <w:bookmarkStart w:id="15" w:name="_Ref190984636"/>
      <w:bookmarkStart w:id="16" w:name="_Ref190984827"/>
      <w:bookmarkStart w:id="17" w:name="_Toc211877957"/>
      <w:r w:rsidRPr="008F3AB1">
        <w:rPr>
          <w:rFonts w:eastAsiaTheme="minorEastAsia"/>
          <w:lang w:val="es-ES_tradnl" w:eastAsia="es-ES"/>
        </w:rPr>
        <w:t>CONSIDERACIONES RELACIONADAS CON EL ORDENAMIENTO TERRITORIAL Y EL ORDENAMIENTO AMBIENTAL</w:t>
      </w:r>
      <w:bookmarkEnd w:id="13"/>
      <w:bookmarkEnd w:id="14"/>
      <w:bookmarkEnd w:id="15"/>
      <w:bookmarkEnd w:id="16"/>
      <w:bookmarkEnd w:id="17"/>
    </w:p>
    <w:p w14:paraId="0C9F098F" w14:textId="77777777" w:rsidR="00827A41" w:rsidRPr="008F3AB1" w:rsidRDefault="00827A41" w:rsidP="00827A41">
      <w:pPr>
        <w:rPr>
          <w:rFonts w:cs="Arial"/>
          <w:lang w:val="es-ES_tradnl" w:eastAsia="es-ES"/>
        </w:rPr>
      </w:pPr>
    </w:p>
    <w:p w14:paraId="4C3E617B" w14:textId="77777777" w:rsidR="00827A41" w:rsidRPr="008F3AB1" w:rsidRDefault="00827A41" w:rsidP="00827A41">
      <w:pPr>
        <w:rPr>
          <w:rFonts w:cs="Arial"/>
          <w:lang w:val="es-ES_tradnl" w:eastAsia="es-ES"/>
        </w:rPr>
      </w:pPr>
      <w:r w:rsidRPr="008F3AB1">
        <w:rPr>
          <w:rFonts w:cs="Arial"/>
          <w:lang w:val="es-ES_tradnl" w:eastAsia="es-ES"/>
        </w:rPr>
        <w:t xml:space="preserve">Inicialmente, es importante precisar las funciones atribuidas a las diferentes entidades en materia de ordenamiento territorial. </w:t>
      </w:r>
    </w:p>
    <w:p w14:paraId="102E7DCF" w14:textId="77777777" w:rsidR="00827A41" w:rsidRPr="008F3AB1" w:rsidRDefault="00827A41" w:rsidP="00827A41">
      <w:pPr>
        <w:rPr>
          <w:rFonts w:cs="Arial"/>
          <w:lang w:val="es-ES_tradnl" w:eastAsia="es-ES"/>
        </w:rPr>
      </w:pPr>
      <w:bookmarkStart w:id="18" w:name="OLE_LINK1"/>
      <w:r w:rsidRPr="008F3AB1">
        <w:rPr>
          <w:rFonts w:cs="Arial"/>
          <w:lang w:eastAsia="es-ES"/>
        </w:rPr>
        <w:t xml:space="preserve">La Constitución Política en los artículos 311 y 313, define al municipio como entidad fundamental de la división político-administrativa del Estado, a quien le corresponde reglamentar los usos del suelo dentro de su jurisdicción, en cabeza de los consejos municipales. </w:t>
      </w:r>
    </w:p>
    <w:bookmarkEnd w:id="18"/>
    <w:p w14:paraId="629D24AC" w14:textId="77777777" w:rsidR="00827A41" w:rsidRPr="008F3AB1" w:rsidRDefault="00827A41" w:rsidP="00827A41">
      <w:pPr>
        <w:rPr>
          <w:rFonts w:cs="Arial"/>
          <w:i/>
          <w:lang w:eastAsia="es-ES"/>
        </w:rPr>
      </w:pPr>
      <w:r w:rsidRPr="008F3AB1">
        <w:rPr>
          <w:rFonts w:cs="Arial"/>
          <w:lang w:eastAsia="es-ES"/>
        </w:rPr>
        <w:t xml:space="preserve">En el mismo sentido, la Ley 388 de 1997 en su artículo 5 señala: </w:t>
      </w:r>
      <w:r w:rsidRPr="008F3AB1">
        <w:rPr>
          <w:rFonts w:cs="Arial"/>
          <w:i/>
          <w:lang w:eastAsia="es-ES"/>
        </w:rPr>
        <w:t>“El ordenamiento territorial municipal y distrital comprende un conjunto de acciones político-administrativas y de planificación física concertadas, emprendidas por los municipios o distritos y áreas metropolitanas, en ejercicio de la función pública que les compete, dentro de los límites fijados por la Constitución y las leyes, en orden a disponer de instrumentos eficientes para orientar el desarrollo del territorio bajo su jurisdicción y regular la utilización, transformación y ocupación del espacio, de acuerdo con las estrategias de desarrollo socioeconómico y en armonía con el medio ambiente y las tradiciones históricas y culturales”.</w:t>
      </w:r>
    </w:p>
    <w:p w14:paraId="4194B659" w14:textId="77777777" w:rsidR="00827A41" w:rsidRPr="008F3AB1" w:rsidRDefault="00827A41" w:rsidP="00827A41">
      <w:pPr>
        <w:rPr>
          <w:rFonts w:cs="Arial"/>
          <w:lang w:eastAsia="es-ES"/>
        </w:rPr>
      </w:pPr>
      <w:r w:rsidRPr="008F3AB1">
        <w:rPr>
          <w:rFonts w:cs="Arial"/>
          <w:lang w:eastAsia="es-ES"/>
        </w:rPr>
        <w:t xml:space="preserve">En este sentido, el artículo 10 de la Ley 388 de 1997 modificado por el artículo 32 de la Ley 2294 de 2023 </w:t>
      </w:r>
      <w:r w:rsidRPr="008F3AB1">
        <w:rPr>
          <w:rFonts w:cs="Arial"/>
          <w:i/>
          <w:iCs/>
          <w:lang w:eastAsia="es-ES"/>
        </w:rPr>
        <w:t>“Por la cual se expide el Plan Nacional de Desarrollo 2022-2026 Colombia Potencia mundial de la vida”,</w:t>
      </w:r>
      <w:r w:rsidRPr="008F3AB1">
        <w:rPr>
          <w:rFonts w:cs="Arial"/>
          <w:lang w:eastAsia="es-ES"/>
        </w:rPr>
        <w:t xml:space="preserve"> dispone:</w:t>
      </w:r>
    </w:p>
    <w:p w14:paraId="01244256" w14:textId="77777777" w:rsidR="00827A41" w:rsidRPr="008F3AB1" w:rsidRDefault="00827A41" w:rsidP="00827A41">
      <w:pPr>
        <w:ind w:left="708"/>
        <w:rPr>
          <w:rFonts w:cs="Arial"/>
          <w:i/>
          <w:lang w:eastAsia="es-ES"/>
        </w:rPr>
      </w:pPr>
      <w:r w:rsidRPr="008F3AB1">
        <w:rPr>
          <w:rFonts w:cs="Arial"/>
          <w:i/>
          <w:lang w:eastAsia="es-ES"/>
        </w:rPr>
        <w:t>“DETERMINANTES DE ORDENAMIENTO TERRITORIAL Y SU ORDEN DE PREVALENCIA. En la elaboración y adopción de sus planes de ordenamiento territorial, los municipios y distritos deberán tener en cuenta las siguientes determinantes, que constituyen normas de superior jerarquía en sus propios ámbitos de competencia, de acuerdo con la Constitución y las leyes.</w:t>
      </w:r>
    </w:p>
    <w:p w14:paraId="67119416" w14:textId="77777777" w:rsidR="00827A41" w:rsidRPr="008F3AB1" w:rsidRDefault="00827A41" w:rsidP="00827A41">
      <w:pPr>
        <w:ind w:left="708"/>
        <w:rPr>
          <w:rFonts w:cs="Arial"/>
          <w:i/>
          <w:lang w:eastAsia="es-ES"/>
        </w:rPr>
      </w:pPr>
      <w:r w:rsidRPr="008F3AB1">
        <w:rPr>
          <w:rFonts w:cs="Arial"/>
          <w:i/>
          <w:lang w:eastAsia="es-ES"/>
        </w:rPr>
        <w:t xml:space="preserve">1. Nivel 1. Las determinantes relacionadas con la conservación, la protección del ambiente y los ecosistemas, el ciclo del agua, los recursos naturales, la prevención de amenazas y riesgos de desastres, la gestión del cambio climático y la soberanía alimentaria. </w:t>
      </w:r>
    </w:p>
    <w:p w14:paraId="286B0EB3" w14:textId="77777777" w:rsidR="00827A41" w:rsidRPr="008F3AB1" w:rsidRDefault="00827A41" w:rsidP="00827A41">
      <w:pPr>
        <w:ind w:left="708"/>
        <w:rPr>
          <w:rFonts w:cs="Arial"/>
          <w:i/>
          <w:lang w:eastAsia="es-ES"/>
        </w:rPr>
      </w:pPr>
      <w:r w:rsidRPr="008F3AB1">
        <w:rPr>
          <w:rFonts w:cs="Arial"/>
          <w:i/>
          <w:lang w:eastAsia="es-ES"/>
        </w:rPr>
        <w:t>a) Las directrices, normas y reglamentos expedidos en ejercicio de sus respectivas facultades legales por las entidades del Sistema Nacional Ambiental en los aspectos relacionados con el ordenamiento espacial del territorio, de acuerdo con la Ley 99 de 1993 y el Código de Recursos Naturales y demás normativa concordante, tales como las limitaciones derivadas de estatuto de zonificación de uso adecuado del territorio y las regulaciones nacionales sobre uso del suelo en lo concerniente exclusivamente a sus aspectos ambientales.</w:t>
      </w:r>
    </w:p>
    <w:p w14:paraId="2E1FADE3" w14:textId="77777777" w:rsidR="00827A41" w:rsidRPr="008F3AB1" w:rsidRDefault="00827A41" w:rsidP="00827A41">
      <w:pPr>
        <w:ind w:left="708"/>
        <w:rPr>
          <w:rFonts w:cs="Arial"/>
          <w:i/>
          <w:lang w:eastAsia="es-ES"/>
        </w:rPr>
      </w:pPr>
      <w:r w:rsidRPr="008F3AB1">
        <w:rPr>
          <w:rFonts w:cs="Arial"/>
          <w:i/>
          <w:lang w:eastAsia="es-ES"/>
        </w:rPr>
        <w:t>b) Las disposiciones que reglamentan el uso y funcionamiento de las áreas que integran el sistema de parques nacionales naturales y las reservas forestales nacionales.</w:t>
      </w:r>
    </w:p>
    <w:p w14:paraId="105EB489" w14:textId="77777777" w:rsidR="00827A41" w:rsidRPr="008F3AB1" w:rsidRDefault="00827A41" w:rsidP="00827A41">
      <w:pPr>
        <w:ind w:left="708"/>
        <w:rPr>
          <w:rFonts w:cs="Arial"/>
          <w:i/>
          <w:lang w:eastAsia="es-ES"/>
        </w:rPr>
      </w:pPr>
      <w:r w:rsidRPr="008F3AB1">
        <w:rPr>
          <w:rFonts w:cs="Arial"/>
          <w:i/>
          <w:lang w:eastAsia="es-ES"/>
        </w:rPr>
        <w:lastRenderedPageBreak/>
        <w:t>c) Las regulaciones sobre conservación, preservación, uso y manejo del ambiente y de los recursos naturales renovables, en especial en las zonas marinas y costeras y los ecosistemas estratégicos; las disposiciones producidas por la Corporación Autónoma Regional o la autoridad ambiental de la respectiva jurisdicción en cuanto a la reserva, alindamiento, administración o sustracción de los distritos de manejo integrado, los distritos de conservación de suelos, y las reservas forestales; a la reserva, alindamiento y administración de los parques naturales de carácter regional; las normas y directrices para el manejo de las cuencas hidrográficas expedidas por la Corporación Autónoma Regional o la autoridad ambiental de la respectiva jurisdicción, y las directrices y normas expedidas por las autoridades ambientales para la conservación de las áreas de especial importancia ecosistémica.</w:t>
      </w:r>
    </w:p>
    <w:p w14:paraId="1C40A1CC" w14:textId="77777777" w:rsidR="00827A41" w:rsidRPr="008F3AB1" w:rsidRDefault="00827A41" w:rsidP="00827A41">
      <w:pPr>
        <w:ind w:left="708"/>
        <w:rPr>
          <w:rFonts w:cs="Arial"/>
          <w:i/>
          <w:lang w:eastAsia="es-ES"/>
        </w:rPr>
      </w:pPr>
      <w:r w:rsidRPr="008F3AB1">
        <w:rPr>
          <w:rFonts w:cs="Arial"/>
          <w:i/>
          <w:lang w:eastAsia="es-ES"/>
        </w:rPr>
        <w:t>d) Las políticas, directrices y regulaciones sobre prevención de amenazas y riesgos de desastres, el señalamiento y localización de las áreas de riesgo para asentamientos humanos, así como las estrategias de manejo de zonas expuestas a amenazas y riesgos naturales, y las relacionadas con la gestión del cambio climático”.</w:t>
      </w:r>
    </w:p>
    <w:p w14:paraId="768BC129" w14:textId="77777777" w:rsidR="00827A41" w:rsidRPr="008F3AB1" w:rsidRDefault="00827A41" w:rsidP="00827A41">
      <w:pPr>
        <w:rPr>
          <w:rFonts w:cs="Arial"/>
          <w:i/>
          <w:lang w:eastAsia="es-ES"/>
        </w:rPr>
      </w:pPr>
      <w:r w:rsidRPr="008F3AB1">
        <w:rPr>
          <w:rFonts w:cs="Arial"/>
          <w:lang w:eastAsia="es-ES"/>
        </w:rPr>
        <w:t xml:space="preserve">Respecto a las funciones de las autoridades ambientales territoriales, la Ley 99 de 1993 en el numeral 5 del artículo 31, establece entre otras, la siguiente: </w:t>
      </w:r>
      <w:r w:rsidRPr="008F3AB1">
        <w:rPr>
          <w:rFonts w:cs="Arial"/>
          <w:i/>
          <w:lang w:eastAsia="es-ES"/>
        </w:rPr>
        <w:t>“Participar con los demás organismos y entes competentes en el ámbito de su jurisdicción, en los procesos de planificación y ordenamiento territorial a fin de que el factor ambiental sea tenido en cuenta en las decisiones que se adopten”.</w:t>
      </w:r>
    </w:p>
    <w:p w14:paraId="6A7E289E" w14:textId="77777777" w:rsidR="00827A41" w:rsidRPr="008F3AB1" w:rsidRDefault="00827A41" w:rsidP="00827A41">
      <w:pPr>
        <w:rPr>
          <w:rFonts w:cs="Arial"/>
          <w:lang w:eastAsia="es-ES"/>
        </w:rPr>
      </w:pPr>
      <w:r w:rsidRPr="008F3AB1">
        <w:rPr>
          <w:rFonts w:cs="Arial"/>
          <w:lang w:eastAsia="es-ES"/>
        </w:rPr>
        <w:t xml:space="preserve">Por su parte el Decreto 1077 de 2015 </w:t>
      </w:r>
      <w:r w:rsidRPr="008F3AB1">
        <w:rPr>
          <w:rFonts w:cs="Arial"/>
          <w:i/>
          <w:iCs/>
          <w:lang w:eastAsia="es-ES"/>
        </w:rPr>
        <w:t>“Decreto Único Reglamentario del Sector Vivienda, Ciudad y Territorio”</w:t>
      </w:r>
      <w:r w:rsidRPr="008F3AB1">
        <w:rPr>
          <w:rFonts w:cs="Arial"/>
          <w:lang w:eastAsia="es-ES"/>
        </w:rPr>
        <w:t xml:space="preserve">, modificado por el Decreto 1232 de 2020, en el artículo 2.2.2.1.2.1.2 establece que en la etapa de diagnóstico, </w:t>
      </w:r>
      <w:r w:rsidRPr="008F3AB1">
        <w:rPr>
          <w:rFonts w:cs="Arial"/>
          <w:b/>
          <w:lang w:eastAsia="es-ES"/>
        </w:rPr>
        <w:t>la dimensión ambiental de los POT deberá ser estructurada a partir de la información de determinantes ambientales establecidas en el nivel 1 del artículo 10 de la Ley 388 de 1997, suministradas por la respectiva autoridad ambiental</w:t>
      </w:r>
      <w:r w:rsidRPr="008F3AB1">
        <w:rPr>
          <w:rFonts w:cs="Arial"/>
          <w:lang w:eastAsia="es-ES"/>
        </w:rPr>
        <w:t>, es decir, por la Corporación Autónoma Regional, de desarrollo sostenible o autoridad ambiental urbana con jurisdicción en el municipio o distrito de interés.</w:t>
      </w:r>
    </w:p>
    <w:p w14:paraId="04E936CE" w14:textId="77777777" w:rsidR="00827A41" w:rsidRPr="008F3AB1" w:rsidRDefault="00827A41" w:rsidP="00827A41">
      <w:pPr>
        <w:rPr>
          <w:rFonts w:cs="Arial"/>
          <w:lang w:eastAsia="es-ES"/>
        </w:rPr>
      </w:pPr>
      <w:r w:rsidRPr="008F3AB1">
        <w:rPr>
          <w:rFonts w:cs="Arial"/>
          <w:lang w:eastAsia="es-ES"/>
        </w:rPr>
        <w:t>Igualmente, el artículo 24 de la Ley 388 de 1997, modificado parcialmente por el artículo 26 de la Ley 2079 de 2021 indica:</w:t>
      </w:r>
    </w:p>
    <w:p w14:paraId="01E8248D" w14:textId="77777777" w:rsidR="00827A41" w:rsidRPr="008F3AB1" w:rsidRDefault="00827A41" w:rsidP="00827A41">
      <w:pPr>
        <w:ind w:left="708"/>
        <w:rPr>
          <w:rFonts w:cs="Arial"/>
          <w:i/>
          <w:lang w:eastAsia="es-ES"/>
        </w:rPr>
      </w:pPr>
      <w:r w:rsidRPr="008F3AB1">
        <w:rPr>
          <w:rFonts w:cs="Arial"/>
          <w:i/>
          <w:lang w:eastAsia="es-ES"/>
        </w:rPr>
        <w:t>“Instancias de concertación y consulta. El alcalde distrital o municipal, a través de las oficinas de planeación o de la dependencia que haga sus veces, será responsable de coordinar la formulación oportuna del proyecto del plan de Ordenamiento Territorial, y de someterlo a consideración del Consejo de Gobierno.</w:t>
      </w:r>
    </w:p>
    <w:p w14:paraId="41CEF30A" w14:textId="77777777" w:rsidR="00827A41" w:rsidRPr="008F3AB1" w:rsidRDefault="00827A41" w:rsidP="00827A41">
      <w:pPr>
        <w:ind w:left="708"/>
        <w:rPr>
          <w:rFonts w:cs="Arial"/>
          <w:i/>
          <w:lang w:eastAsia="es-ES"/>
        </w:rPr>
      </w:pPr>
      <w:r w:rsidRPr="008F3AB1">
        <w:rPr>
          <w:rFonts w:cs="Arial"/>
          <w:i/>
          <w:lang w:eastAsia="es-ES"/>
        </w:rPr>
        <w:t>En todo caso, antes de la presentación del proyecto de plan de ordenamiento territorial a consideración del concejo distrital o municipal, se surtirán los trámites de concertación interinstitucional y consulta ciudadana, de acuerdo con el siguiente procedimiento:</w:t>
      </w:r>
    </w:p>
    <w:p w14:paraId="3B4E9ADB" w14:textId="77777777" w:rsidR="00827A41" w:rsidRPr="008F3AB1" w:rsidRDefault="00827A41" w:rsidP="00827A41">
      <w:pPr>
        <w:ind w:left="708"/>
        <w:rPr>
          <w:rFonts w:cs="Arial"/>
          <w:i/>
          <w:lang w:eastAsia="es-ES"/>
        </w:rPr>
      </w:pPr>
      <w:r w:rsidRPr="008F3AB1">
        <w:rPr>
          <w:rFonts w:cs="Arial"/>
          <w:i/>
          <w:lang w:eastAsia="es-ES"/>
        </w:rPr>
        <w:t xml:space="preserve">1. El proyecto de Plan se someterá a consideración de la Corporación Autónoma Regional o autoridad ambiental correspondiente, a efectos de que conjuntamente con el municipio y/o distrito concerten los asuntos exclusivamente ambientales, dentro del ámbito de su competencia de acuerdo con lo dispuesto en la Ley 99 de </w:t>
      </w:r>
      <w:r w:rsidRPr="008F3AB1">
        <w:rPr>
          <w:rFonts w:cs="Arial"/>
          <w:i/>
          <w:lang w:eastAsia="es-ES"/>
        </w:rPr>
        <w:lastRenderedPageBreak/>
        <w:t>1993, para lo cual dispondrán, de cuarenta y cinco (45) días; solo podrá ser objetado por razones técnicas y sustentadas en estudios”. (Texto tomado a partir de la modificación hecha mediante la Ley 2079 de 2021).</w:t>
      </w:r>
    </w:p>
    <w:p w14:paraId="51979455" w14:textId="77777777" w:rsidR="00827A41" w:rsidRPr="008F3AB1" w:rsidRDefault="00827A41" w:rsidP="00827A41">
      <w:pPr>
        <w:rPr>
          <w:rFonts w:cs="Arial"/>
          <w:lang w:eastAsia="es-ES"/>
        </w:rPr>
      </w:pPr>
      <w:r w:rsidRPr="008F3AB1">
        <w:rPr>
          <w:rFonts w:cs="Arial"/>
          <w:lang w:eastAsia="es-ES"/>
        </w:rPr>
        <w:t xml:space="preserve">A su turno, el artículo 2.2.2.1.2.2.3 del Decreto 1077 de 2015, referido a las condiciones para adelantar la concertación con la Corporación Autónoma Regional o autoridad ambiental competente indica: </w:t>
      </w:r>
    </w:p>
    <w:p w14:paraId="3F225360" w14:textId="77777777" w:rsidR="00827A41" w:rsidRPr="008F3AB1" w:rsidRDefault="00827A41" w:rsidP="00827A41">
      <w:pPr>
        <w:ind w:left="708"/>
        <w:rPr>
          <w:rFonts w:cs="Arial"/>
          <w:lang w:eastAsia="es-ES"/>
        </w:rPr>
      </w:pPr>
      <w:r w:rsidRPr="008F3AB1">
        <w:rPr>
          <w:rFonts w:cs="Arial"/>
          <w:lang w:eastAsia="es-ES"/>
        </w:rPr>
        <w:t>“</w:t>
      </w:r>
      <w:r w:rsidRPr="008F3AB1">
        <w:rPr>
          <w:rFonts w:cs="Arial"/>
          <w:i/>
          <w:lang w:eastAsia="es-ES"/>
        </w:rPr>
        <w:t>La concertación de los asuntos exclusivamente ambientales entre municipio o distrito y la corporación autónoma regional o autoridad ambiental competente se debe efectuar de manera integral, sin que sea viable realizar concertaciones parciales o condicionadas, en el marco de lo dispuesto en la Ley 388 de 1997 modificada en lo pertinente por la Ley 507 de 1999 y el artículo 49 de la Ley 1537 de 2012”.</w:t>
      </w:r>
    </w:p>
    <w:p w14:paraId="22E56331" w14:textId="4CBB3223" w:rsidR="00827A41" w:rsidRPr="008F3AB1" w:rsidRDefault="00827A41" w:rsidP="00827A41">
      <w:pPr>
        <w:rPr>
          <w:rFonts w:cs="Arial"/>
          <w:b/>
          <w:bCs/>
          <w:lang w:eastAsia="es-ES"/>
        </w:rPr>
      </w:pPr>
      <w:r w:rsidRPr="008F3AB1">
        <w:rPr>
          <w:rFonts w:cs="Arial"/>
          <w:lang w:eastAsia="es-ES"/>
        </w:rPr>
        <w:t xml:space="preserve">Con fundamento en lo anterior, para verificar el </w:t>
      </w:r>
      <w:r w:rsidR="001B43F6" w:rsidRPr="008F3AB1">
        <w:rPr>
          <w:rFonts w:cs="Arial"/>
          <w:lang w:eastAsia="es-ES"/>
        </w:rPr>
        <w:t>otorgamiento</w:t>
      </w:r>
      <w:r w:rsidRPr="008F3AB1">
        <w:rPr>
          <w:rFonts w:cs="Arial"/>
          <w:lang w:eastAsia="es-ES"/>
        </w:rPr>
        <w:t xml:space="preserve"> de licencias, permisos o concesiones para el uso y aprovechamiento de los recursos naturales asociados a proyectos, obras o actividades relacionadas con el establecimiento, implementación u operación de cultivos de aguacate, </w:t>
      </w:r>
      <w:r w:rsidRPr="008F3AB1">
        <w:rPr>
          <w:rFonts w:cs="Arial"/>
          <w:b/>
          <w:bCs/>
          <w:lang w:eastAsia="es-ES"/>
        </w:rPr>
        <w:t>es deber de las autoridades ambientales territoriales verificar el uso del área propuesta, en concordancia con el ordenamiento ambiental vigentes aplicables al polígono de interés.</w:t>
      </w:r>
    </w:p>
    <w:p w14:paraId="551B160E" w14:textId="77777777" w:rsidR="00827A41" w:rsidRPr="008F3AB1" w:rsidRDefault="00827A41" w:rsidP="00827A41">
      <w:pPr>
        <w:spacing w:before="100" w:beforeAutospacing="1" w:after="100" w:afterAutospacing="1"/>
        <w:rPr>
          <w:rFonts w:cs="Arial"/>
          <w:lang w:eastAsia="es-ES"/>
        </w:rPr>
      </w:pPr>
      <w:r w:rsidRPr="008F3AB1">
        <w:rPr>
          <w:rFonts w:cs="Arial"/>
          <w:lang w:eastAsia="es-ES"/>
        </w:rPr>
        <w:t xml:space="preserve">Adicionalmente, en el marco del ordenamiento territorial, es claro que las autoridades ambientales territoriales expiden las determinantes de que trata el nivel 1 del artículo 10 de la Ley 388 de 1997, conocidas como determinantes ambientales, las cuales constituyen normas de superior jerarquía y obligatorio cumplimiento y que de acuerdo con la definición contenida en el cartilla </w:t>
      </w:r>
      <w:r w:rsidRPr="008F3AB1">
        <w:rPr>
          <w:rFonts w:cs="Arial"/>
          <w:i/>
          <w:iCs/>
          <w:lang w:eastAsia="es-ES"/>
        </w:rPr>
        <w:t>“Orientaciones para la definición y actualización de las determinantes ambientales por parte de las autoridades ambientales y su incorporación en los Planes de Ordenamiento Territorial”</w:t>
      </w:r>
      <w:r w:rsidRPr="008F3AB1">
        <w:rPr>
          <w:rFonts w:cs="Arial"/>
          <w:lang w:eastAsia="es-ES"/>
        </w:rPr>
        <w:t>, versión 2024, corresponden a los términos y condiciones fijados por las autoridades ambientales para garantizar la sostenibilidad ambiental de los procesos de ordenamiento territorial, las cuales se hacen exigibles desde el momento de su expedición en las decisiones sobre el uso, ocupación y transformación del territorio.</w:t>
      </w:r>
    </w:p>
    <w:p w14:paraId="0B2A0D54" w14:textId="77777777" w:rsidR="00827A41" w:rsidRPr="008F3AB1" w:rsidRDefault="00827A41" w:rsidP="00827A41">
      <w:pPr>
        <w:rPr>
          <w:rFonts w:cs="Arial"/>
          <w:strike/>
          <w:lang w:eastAsia="es-ES"/>
        </w:rPr>
      </w:pPr>
      <w:r w:rsidRPr="008F3AB1">
        <w:rPr>
          <w:rFonts w:cs="Arial"/>
          <w:strike/>
          <w:lang w:eastAsia="es-ES"/>
        </w:rPr>
        <w:t>Adicionalmente, la Corporación debe tener en cuenta los diferentes niveles de condicionamiento o restricción de las determinantes ambientales para la definición de los usos del suelo. En este sentido, para la producción de aguacate se debe considerar que existen unas determinantes ambientales que generan una restricción mayor o exclusión total de estas áreas para la producción del cultivo, por constituir áreas protegidas o ecosistemas estratégicos; tal es el caso de los parques nacionales y regionales naturales, los páramos, las reservas forestales protectoras, los humedales, los nacimientos de agua, las ciénagas, los manglares, los ecosistemas y bosques secos, el componente de faja paralela de las rondas hídricas, las áreas de recarga de acuíferos, áreas con condición de riesgo y áreas con condición de amenaza, entre otras áreas de importancia ecosistémica que puedan existir en el territorio de interés.</w:t>
      </w:r>
    </w:p>
    <w:p w14:paraId="674DF4C1" w14:textId="77777777" w:rsidR="00827A41" w:rsidRPr="008F3AB1" w:rsidRDefault="00827A41" w:rsidP="00827A41">
      <w:pPr>
        <w:spacing w:before="100" w:beforeAutospacing="1" w:after="100" w:afterAutospacing="1"/>
        <w:rPr>
          <w:rFonts w:cs="Arial"/>
          <w:lang w:eastAsia="es-ES"/>
        </w:rPr>
      </w:pPr>
      <w:r w:rsidRPr="008F3AB1">
        <w:rPr>
          <w:rFonts w:cs="Arial"/>
          <w:lang w:eastAsia="es-ES"/>
        </w:rPr>
        <w:t xml:space="preserve">En los trámites ambientales relacionados con los proyectos, obras o actividades para la producción de aguacate, las autoridades ambientales territoriales verificarán, que los municipios y distritos, en la definición del respectivo régimen de usos del suelo, hayan </w:t>
      </w:r>
      <w:r w:rsidRPr="008F3AB1">
        <w:rPr>
          <w:rFonts w:cs="Arial"/>
          <w:lang w:eastAsia="es-ES"/>
        </w:rPr>
        <w:lastRenderedPageBreak/>
        <w:t>atendido las determinantes ambientales y sus diferentes niveles de restricción y condicionamiento, aplicables al polígono del proyecto. Al respecto, se recuerda que las determinantes ambientales generan diferentes niveles de restricción y condicionamiento para las áreas protegidas,  ecosistemas estratégicos y áreas de importancia ecosistémica, estrategias complementarias de conservación, entre otras, definidas en sus respectivos instrumentos de ordenación y manejo.</w:t>
      </w:r>
    </w:p>
    <w:p w14:paraId="34B37485" w14:textId="77777777" w:rsidR="00827A41" w:rsidRPr="008F3AB1" w:rsidRDefault="00827A41" w:rsidP="00827A41">
      <w:pPr>
        <w:spacing w:before="100" w:beforeAutospacing="1" w:after="100" w:afterAutospacing="1"/>
        <w:rPr>
          <w:rFonts w:cs="Arial"/>
          <w:lang w:eastAsia="es-ES"/>
        </w:rPr>
      </w:pPr>
      <w:r w:rsidRPr="008F3AB1">
        <w:rPr>
          <w:rFonts w:cs="Arial"/>
          <w:lang w:eastAsia="es-ES"/>
        </w:rPr>
        <w:t>En este sentido, se deberá tener en cuenta que existen algunos polígonos de áreas protegidas, ecosistemas estratégicos y estrategias de conservación que habilitan áreas para el desarrollo sostenible, en algunos casos compatibles con actividades de producción agropecuaria, aspectos que deben ser analizados integralmente junto con las características ambientales, topográficas, paisajísticas propias de cada territorio.</w:t>
      </w:r>
    </w:p>
    <w:p w14:paraId="6389D513" w14:textId="77777777" w:rsidR="00827A41" w:rsidRPr="008F3AB1" w:rsidRDefault="00827A41" w:rsidP="00827A41">
      <w:pPr>
        <w:rPr>
          <w:rFonts w:cs="Arial"/>
          <w:lang w:eastAsia="es-ES"/>
        </w:rPr>
      </w:pPr>
      <w:r w:rsidRPr="008F3AB1">
        <w:rPr>
          <w:rFonts w:cs="Arial"/>
          <w:lang w:eastAsia="es-ES"/>
        </w:rPr>
        <w:t>Respecto a las áreas con condición de riesgo o áreas con condición de amenaza definidas en los estudios de los planes, planes básicos y esquemas de ordenamiento territorial municipal, el cultivo podría establecerse, siempre y cuando producto del desarrollo de estudios detallados se determine viable el desarrollo de actividades agropecuarias a partir de la construcción o implementación de obras o acciones para atender las condiciones de amenaza o riesgo.</w:t>
      </w:r>
    </w:p>
    <w:p w14:paraId="39C03409" w14:textId="77777777" w:rsidR="00827A41" w:rsidRPr="008F3AB1" w:rsidRDefault="00827A41" w:rsidP="00827A41">
      <w:pPr>
        <w:pStyle w:val="NormalWeb"/>
        <w:rPr>
          <w:rFonts w:ascii="Arial" w:hAnsi="Arial" w:cs="Arial"/>
          <w:lang w:val="es-ES_tradnl" w:eastAsia="es-ES"/>
        </w:rPr>
      </w:pPr>
      <w:r w:rsidRPr="008F3AB1">
        <w:rPr>
          <w:rFonts w:ascii="Arial" w:eastAsiaTheme="minorHAnsi" w:hAnsi="Arial" w:cs="Arial"/>
          <w:sz w:val="22"/>
          <w:szCs w:val="22"/>
          <w:lang w:eastAsia="es-ES"/>
        </w:rPr>
        <w:t>Por su parte, en lo que tiene que ver con la gestión del cambio climático, se deberán adoptar las medidas para la adaptación y mitigación del cambio climático contenidas en los distintos instrumentos para su gestión, de acuerdo con la información disponible, esto es, los planes integrales para la gestión del cambio departamentales, sectoriales y municipales.</w:t>
      </w:r>
    </w:p>
    <w:p w14:paraId="1D9919F5" w14:textId="77777777" w:rsidR="00827A41" w:rsidRPr="008F3AB1" w:rsidRDefault="00827A41" w:rsidP="00827A41">
      <w:pPr>
        <w:rPr>
          <w:rFonts w:cs="Arial"/>
          <w:lang w:val="es-ES_tradnl" w:eastAsia="es-ES"/>
        </w:rPr>
      </w:pPr>
      <w:r w:rsidRPr="008F3AB1">
        <w:rPr>
          <w:rFonts w:cs="Arial"/>
          <w:lang w:val="es-ES_tradnl" w:eastAsia="es-ES"/>
        </w:rPr>
        <w:t>Finalmente, respecto a las áreas libres de restricción o condicionamiento, las autoridades ambientales deberán orientar a las entidades territoriales en proponer modelos de ocupación que prioricen los siguientes criterios para el desarrollo de cultivos de aguacate:</w:t>
      </w:r>
    </w:p>
    <w:p w14:paraId="158599EF" w14:textId="77777777" w:rsidR="00827A41" w:rsidRPr="008F3AB1" w:rsidRDefault="00827A41" w:rsidP="005306CE">
      <w:pPr>
        <w:pStyle w:val="Prrafodelista"/>
        <w:widowControl/>
        <w:numPr>
          <w:ilvl w:val="1"/>
          <w:numId w:val="10"/>
        </w:numPr>
        <w:autoSpaceDE/>
        <w:autoSpaceDN/>
        <w:spacing w:after="160"/>
        <w:ind w:left="709" w:hanging="425"/>
        <w:contextualSpacing/>
        <w:rPr>
          <w:lang w:val="es-MX" w:eastAsia="es-ES"/>
        </w:rPr>
      </w:pPr>
      <w:r w:rsidRPr="008F3AB1">
        <w:rPr>
          <w:lang w:val="es-MX" w:eastAsia="es-ES"/>
        </w:rPr>
        <w:t>Que se realice en áreas con aptitud, de acuerdo con el mapa de la Unidad de Planificación Rural Agropecuaria (UPRA).</w:t>
      </w:r>
    </w:p>
    <w:p w14:paraId="416F15B4" w14:textId="77777777" w:rsidR="00827A41" w:rsidRPr="008F3AB1" w:rsidRDefault="00827A41" w:rsidP="00827A41">
      <w:pPr>
        <w:pStyle w:val="Prrafodelista"/>
        <w:ind w:left="709"/>
        <w:rPr>
          <w:lang w:val="es-MX" w:eastAsia="es-ES"/>
        </w:rPr>
      </w:pPr>
    </w:p>
    <w:p w14:paraId="5DA076DA" w14:textId="77777777" w:rsidR="00827A41" w:rsidRPr="008F3AB1" w:rsidRDefault="00827A41" w:rsidP="005306CE">
      <w:pPr>
        <w:pStyle w:val="Prrafodelista"/>
        <w:widowControl/>
        <w:numPr>
          <w:ilvl w:val="1"/>
          <w:numId w:val="10"/>
        </w:numPr>
        <w:autoSpaceDE/>
        <w:autoSpaceDN/>
        <w:spacing w:after="160"/>
        <w:ind w:left="709" w:hanging="425"/>
        <w:contextualSpacing/>
        <w:rPr>
          <w:lang w:val="es-MX" w:eastAsia="es-ES"/>
        </w:rPr>
      </w:pPr>
      <w:r w:rsidRPr="008F3AB1">
        <w:rPr>
          <w:lang w:val="es-ES_tradnl" w:eastAsia="es-ES"/>
        </w:rPr>
        <w:t>Que se mantenga la conectividad ecológica y los servicios ecosistémicos derivados del paisaje como recurso.</w:t>
      </w:r>
    </w:p>
    <w:p w14:paraId="6FFC6894" w14:textId="77777777" w:rsidR="00827A41" w:rsidRPr="008F3AB1" w:rsidRDefault="00827A41" w:rsidP="00827A41">
      <w:pPr>
        <w:pStyle w:val="Prrafodelista"/>
        <w:rPr>
          <w:lang w:val="es-MX" w:eastAsia="es-ES"/>
        </w:rPr>
      </w:pPr>
    </w:p>
    <w:p w14:paraId="4144D85F" w14:textId="77777777" w:rsidR="00827A41" w:rsidRPr="008F3AB1" w:rsidRDefault="00827A41" w:rsidP="005306CE">
      <w:pPr>
        <w:pStyle w:val="Prrafodelista"/>
        <w:widowControl/>
        <w:numPr>
          <w:ilvl w:val="1"/>
          <w:numId w:val="10"/>
        </w:numPr>
        <w:autoSpaceDE/>
        <w:autoSpaceDN/>
        <w:spacing w:after="160"/>
        <w:ind w:left="709" w:hanging="425"/>
        <w:contextualSpacing/>
        <w:rPr>
          <w:lang w:val="es-MX" w:eastAsia="es-ES"/>
        </w:rPr>
      </w:pPr>
      <w:r w:rsidRPr="008F3AB1">
        <w:rPr>
          <w:lang w:val="es-MX" w:eastAsia="es-ES"/>
        </w:rPr>
        <w:t>Que se fomenten modelos de ocupación que permitan el cultivo en el marco de la agricultura campesina, familiar, étnica y comunitaria.</w:t>
      </w:r>
    </w:p>
    <w:p w14:paraId="092D8FDA" w14:textId="77777777" w:rsidR="00827A41" w:rsidRPr="008F3AB1" w:rsidRDefault="00827A41" w:rsidP="00827A41">
      <w:pPr>
        <w:pStyle w:val="Prrafodelista"/>
        <w:rPr>
          <w:lang w:val="es-MX" w:eastAsia="es-ES"/>
        </w:rPr>
      </w:pPr>
    </w:p>
    <w:p w14:paraId="33F461C8" w14:textId="77777777" w:rsidR="00827A41" w:rsidRPr="008F3AB1" w:rsidRDefault="00827A41" w:rsidP="005306CE">
      <w:pPr>
        <w:pStyle w:val="Prrafodelista"/>
        <w:widowControl/>
        <w:numPr>
          <w:ilvl w:val="1"/>
          <w:numId w:val="10"/>
        </w:numPr>
        <w:autoSpaceDE/>
        <w:autoSpaceDN/>
        <w:spacing w:after="160"/>
        <w:ind w:left="709" w:hanging="425"/>
        <w:contextualSpacing/>
        <w:rPr>
          <w:lang w:val="es-MX" w:eastAsia="es-ES"/>
        </w:rPr>
      </w:pPr>
      <w:bookmarkStart w:id="19" w:name="_Hlk199246002"/>
      <w:r w:rsidRPr="008F3AB1">
        <w:rPr>
          <w:lang w:val="es-MX" w:eastAsia="es-ES"/>
        </w:rPr>
        <w:t xml:space="preserve">Que se realice una gestión eficiente del recurso suelo a partir de la adopción de las buenas prácticas agrícolas y las directrices de la </w:t>
      </w:r>
      <w:r w:rsidRPr="008F3AB1">
        <w:rPr>
          <w:rFonts w:eastAsia="Aptos"/>
          <w:lang w:val="es"/>
        </w:rPr>
        <w:t xml:space="preserve">guía ambiental para la producción de aguacate que expida el Ministerio de Ambiente y Desarrollo Sostenible. </w:t>
      </w:r>
      <w:r w:rsidRPr="008F3AB1">
        <w:rPr>
          <w:lang w:val="es-MX" w:eastAsia="es-ES"/>
        </w:rPr>
        <w:t>Que se gestione en el marco de sistemas productivos agroforestales.</w:t>
      </w:r>
    </w:p>
    <w:p w14:paraId="4158095A" w14:textId="77777777" w:rsidR="00827A41" w:rsidRPr="008F3AB1" w:rsidRDefault="00827A41" w:rsidP="00827A41">
      <w:pPr>
        <w:rPr>
          <w:rFonts w:cs="Arial"/>
          <w:lang w:val="es-ES_tradnl" w:eastAsia="es-ES"/>
        </w:rPr>
      </w:pPr>
      <w:r w:rsidRPr="008F3AB1">
        <w:rPr>
          <w:rFonts w:cs="Arial"/>
          <w:lang w:val="es-ES_tradnl" w:eastAsia="es-ES"/>
        </w:rPr>
        <w:t>En todo caso, en los territorios en los cuales coincida más de una determinante ambiental, prevalecerá la determinante con mayor grado de restricción.</w:t>
      </w:r>
    </w:p>
    <w:p w14:paraId="696B9769" w14:textId="77777777" w:rsidR="00827A41" w:rsidRPr="008F3AB1" w:rsidRDefault="00827A41" w:rsidP="005306CE">
      <w:pPr>
        <w:pStyle w:val="Ttulo1"/>
        <w:keepNext/>
        <w:keepLines/>
        <w:widowControl/>
        <w:numPr>
          <w:ilvl w:val="2"/>
          <w:numId w:val="43"/>
        </w:numPr>
        <w:autoSpaceDE/>
        <w:autoSpaceDN/>
        <w:spacing w:before="240"/>
        <w:rPr>
          <w:rFonts w:eastAsiaTheme="minorEastAsia"/>
          <w:lang w:val="es-ES_tradnl" w:eastAsia="es-ES"/>
        </w:rPr>
      </w:pPr>
      <w:bookmarkStart w:id="20" w:name="_Toc211877958"/>
      <w:bookmarkEnd w:id="19"/>
      <w:r w:rsidRPr="008F3AB1">
        <w:rPr>
          <w:rFonts w:eastAsiaTheme="minorEastAsia"/>
          <w:lang w:val="es-ES_tradnl" w:eastAsia="es-ES"/>
        </w:rPr>
        <w:lastRenderedPageBreak/>
        <w:t>Consideraciones sobre la producción de aguacate en las áreas de reserva forestal, establecidas mediante la Ley 2ª de 1959</w:t>
      </w:r>
      <w:bookmarkEnd w:id="20"/>
    </w:p>
    <w:p w14:paraId="5F9C8F8D" w14:textId="77777777" w:rsidR="00827A41" w:rsidRPr="008F3AB1" w:rsidRDefault="00827A41" w:rsidP="00827A41">
      <w:pPr>
        <w:pStyle w:val="Prrafodelista"/>
        <w:rPr>
          <w:rFonts w:eastAsia="Times New Roman"/>
          <w:lang w:val="es-MX" w:eastAsia="es-ES"/>
        </w:rPr>
      </w:pPr>
    </w:p>
    <w:p w14:paraId="143C1075" w14:textId="77777777" w:rsidR="00827A41" w:rsidRPr="008F3AB1" w:rsidRDefault="00827A41" w:rsidP="00827A41">
      <w:pPr>
        <w:spacing w:after="0"/>
        <w:rPr>
          <w:rFonts w:eastAsia="Times New Roman" w:cs="Arial"/>
          <w:lang w:eastAsia="es-ES"/>
        </w:rPr>
      </w:pPr>
      <w:r w:rsidRPr="008F3AB1">
        <w:rPr>
          <w:rFonts w:eastAsia="Times New Roman" w:cs="Arial"/>
          <w:lang w:eastAsia="es-ES"/>
        </w:rPr>
        <w:t>La producción de aguacate en reservas forestales de Ley 2ª de 1959, es una actividad agrícola que necesariamente debe atender a la zonificación y el ordenamiento de estas áreas.</w:t>
      </w:r>
    </w:p>
    <w:p w14:paraId="5F50121F" w14:textId="77777777" w:rsidR="00827A41" w:rsidRPr="008F3AB1" w:rsidRDefault="00827A41" w:rsidP="00827A41">
      <w:pPr>
        <w:spacing w:after="0"/>
        <w:rPr>
          <w:rFonts w:eastAsia="Times New Roman" w:cs="Arial"/>
          <w:lang w:eastAsia="es-ES"/>
        </w:rPr>
      </w:pPr>
    </w:p>
    <w:p w14:paraId="1DD42341" w14:textId="77777777" w:rsidR="00827A41" w:rsidRPr="008F3AB1" w:rsidRDefault="00827A41" w:rsidP="00827A41">
      <w:pPr>
        <w:spacing w:after="0"/>
        <w:rPr>
          <w:rFonts w:eastAsia="Times New Roman" w:cs="Arial"/>
          <w:lang w:eastAsia="es-ES"/>
        </w:rPr>
      </w:pPr>
      <w:r w:rsidRPr="008F3AB1">
        <w:rPr>
          <w:rFonts w:eastAsia="Times New Roman" w:cs="Arial"/>
          <w:lang w:eastAsia="es-ES"/>
        </w:rPr>
        <w:t xml:space="preserve">Es importante señalar que, la zonificación de las reservas forestales de Ley 2ª, se estableció a escala  1:100.000, mientras que este tipo de actividades se desarrolla a nivel predial, por lo tanto, es necesario que las autoridades ambientales territoriales, analicen de forma particular y concreta, si los predios donde se ejerce esta producción agrícola cumplen con las condiciones biofísicas adecuadas para el desarrollo de dicha actividad, considerando además que se incorpore el componente forestal mediante la implementación de arreglos agroforestales, herramientas de manejo del paisaje como es el caso de las cercas vivas, rehabilitación o restauración de áreas degradadas, reforestación y protección de rondas hídricas, entre otros, para la conectividad ecológica entre áreas naturales y áreas intervenidas que permita el mantenimiento, integridad y revitalización entre estos sistemas.     </w:t>
      </w:r>
    </w:p>
    <w:p w14:paraId="6E592EFB" w14:textId="77777777" w:rsidR="00827A41" w:rsidRPr="008F3AB1" w:rsidRDefault="00827A41" w:rsidP="00827A41">
      <w:pPr>
        <w:pStyle w:val="Prrafodelista"/>
        <w:rPr>
          <w:rFonts w:eastAsia="Times New Roman"/>
          <w:lang w:val="es-MX" w:eastAsia="es-ES"/>
        </w:rPr>
      </w:pPr>
    </w:p>
    <w:p w14:paraId="6E6C4020" w14:textId="77777777" w:rsidR="00827A41" w:rsidRPr="008F3AB1" w:rsidRDefault="00827A41" w:rsidP="005306CE">
      <w:pPr>
        <w:pStyle w:val="Prrafodelista"/>
        <w:widowControl/>
        <w:numPr>
          <w:ilvl w:val="0"/>
          <w:numId w:val="46"/>
        </w:numPr>
        <w:autoSpaceDE/>
        <w:autoSpaceDN/>
        <w:contextualSpacing/>
        <w:rPr>
          <w:rFonts w:eastAsia="Times New Roman"/>
          <w:lang w:val="es-MX" w:eastAsia="es-ES"/>
        </w:rPr>
      </w:pPr>
      <w:r w:rsidRPr="008F3AB1">
        <w:rPr>
          <w:rFonts w:eastAsia="Times New Roman"/>
          <w:lang w:val="es-MX" w:eastAsia="es-ES"/>
        </w:rPr>
        <w:t xml:space="preserve">El interesado en desarrollar estas actividades agrícolas en estas áreas de reserva forestal deberá tramitar y obtener los permisos, concesiones y autorizaciones necesarios, ante la autoridad ambiental correspondiente (Corporaciones Autónomas Regionales). La autoridad ambiental deberá definir de acuerdo con criterios técnicos y con fundamento en el conocimiento de la reserva, en qué áreas de la reserva es viable otorgar permisos, concesiones u otro tipo de permisos ambientales. </w:t>
      </w:r>
    </w:p>
    <w:p w14:paraId="49E51006" w14:textId="77777777" w:rsidR="00827A41" w:rsidRPr="008F3AB1" w:rsidRDefault="00827A41" w:rsidP="00827A41">
      <w:pPr>
        <w:pStyle w:val="Prrafodelista"/>
        <w:rPr>
          <w:rFonts w:eastAsia="Times New Roman"/>
          <w:lang w:val="es-MX" w:eastAsia="es-ES"/>
        </w:rPr>
      </w:pPr>
    </w:p>
    <w:p w14:paraId="73A48E84" w14:textId="77777777" w:rsidR="00827A41" w:rsidRPr="008F3AB1" w:rsidRDefault="00827A41" w:rsidP="005306CE">
      <w:pPr>
        <w:pStyle w:val="Prrafodelista"/>
        <w:widowControl/>
        <w:numPr>
          <w:ilvl w:val="0"/>
          <w:numId w:val="46"/>
        </w:numPr>
        <w:autoSpaceDE/>
        <w:autoSpaceDN/>
        <w:contextualSpacing/>
        <w:rPr>
          <w:rFonts w:eastAsia="Times New Roman"/>
          <w:lang w:val="es-MX" w:eastAsia="es-ES"/>
        </w:rPr>
      </w:pPr>
      <w:r w:rsidRPr="008F3AB1">
        <w:rPr>
          <w:rFonts w:eastAsia="Times New Roman"/>
          <w:lang w:val="es-MX" w:eastAsia="es-ES"/>
        </w:rPr>
        <w:t>Las Corporaciones Autónomas Regionales y de Desarrollo Sostenible, en su calidad de administradoras de las reservas forestales y de máxima autoridad ambiental en el área de su jurisdicción, deben velar por que el aprovechamiento de los recursos naturales renovables se realice bajo el amparo de permisos autorizaciones y concesiones, so pena de la aplicación de las medidas preventivas y sanciones establecidas en la Ley 1333 de 2009.</w:t>
      </w:r>
    </w:p>
    <w:p w14:paraId="0AFC6414" w14:textId="77777777" w:rsidR="00827A41" w:rsidRPr="008F3AB1" w:rsidRDefault="00827A41" w:rsidP="00827A41">
      <w:pPr>
        <w:pStyle w:val="Prrafodelista"/>
        <w:rPr>
          <w:rFonts w:eastAsia="Times New Roman"/>
          <w:lang w:val="es-MX" w:eastAsia="es-ES"/>
        </w:rPr>
      </w:pPr>
    </w:p>
    <w:p w14:paraId="0F980C24" w14:textId="77777777" w:rsidR="00827A41" w:rsidRPr="008F3AB1" w:rsidRDefault="00827A41" w:rsidP="005306CE">
      <w:pPr>
        <w:pStyle w:val="Prrafodelista"/>
        <w:widowControl/>
        <w:numPr>
          <w:ilvl w:val="0"/>
          <w:numId w:val="46"/>
        </w:numPr>
        <w:autoSpaceDE/>
        <w:autoSpaceDN/>
        <w:contextualSpacing/>
        <w:rPr>
          <w:rFonts w:eastAsia="Times New Roman"/>
          <w:lang w:val="es-MX" w:eastAsia="es-ES"/>
        </w:rPr>
      </w:pPr>
      <w:r w:rsidRPr="008F3AB1">
        <w:rPr>
          <w:rFonts w:eastAsia="Times New Roman"/>
          <w:lang w:val="es-MX" w:eastAsia="es-ES"/>
        </w:rPr>
        <w:t xml:space="preserve">Las Corporaciones Autónomas Regionales, tienen la potestad de hacer la evaluación, control y seguimiento ambiental de los usos del agua, el suelo, el aire y los demás recursos naturales renovables, lo cual comprende el vertimiento, emisión o incorporación de sustancias o residuos líquidos, sólidos y gaseosos, a las aguas en cualquiera de sus formas, al aire o a los suelos, así como los vertimientos o emisiones que puedan causar daño o poner en peligro el normal desarrollo sostenible de estos o impedir u obstaculizar su empleo para otros usos, de acuerdo con lo estipulado en los artículos 23 y 31 de la Ley 99 de 1993. </w:t>
      </w:r>
    </w:p>
    <w:p w14:paraId="57166F62" w14:textId="77777777" w:rsidR="00827A41" w:rsidRPr="008F3AB1" w:rsidRDefault="00827A41" w:rsidP="00827A41">
      <w:pPr>
        <w:pStyle w:val="Prrafodelista"/>
        <w:rPr>
          <w:rFonts w:eastAsia="Times New Roman"/>
          <w:lang w:val="es-MX" w:eastAsia="es-ES"/>
        </w:rPr>
      </w:pPr>
    </w:p>
    <w:p w14:paraId="12BBE62F" w14:textId="77777777" w:rsidR="00827A41" w:rsidRPr="008F3AB1" w:rsidRDefault="00827A41" w:rsidP="00827A41">
      <w:pPr>
        <w:pStyle w:val="Prrafodelista"/>
        <w:rPr>
          <w:rFonts w:eastAsia="Times New Roman"/>
          <w:lang w:val="es-MX" w:eastAsia="es-ES"/>
        </w:rPr>
      </w:pPr>
      <w:r w:rsidRPr="008F3AB1">
        <w:rPr>
          <w:rFonts w:eastAsia="Times New Roman"/>
          <w:lang w:val="es-MX" w:eastAsia="es-ES"/>
        </w:rPr>
        <w:t>Frente a este punto, es importante resaltar que, considerando la alta demanda de agua que requiere un cultivo de aguacate, las Corporaciones al momento de otorgar las concesiones de agua para este tipo de actividades, deben tener en cuenta: la disponibilidad del recurso, la demanda presente y proyectada, la preservación del ambiente, la necesidad de mantener reservas suficientes del recurso hídrico, el orden de prioridades para el otorgamiento, entre otros factores determinados en la norma.</w:t>
      </w:r>
    </w:p>
    <w:p w14:paraId="4D7A5BE9" w14:textId="77777777" w:rsidR="00827A41" w:rsidRPr="008F3AB1" w:rsidRDefault="00827A41" w:rsidP="00827A41">
      <w:pPr>
        <w:pStyle w:val="Prrafodelista"/>
        <w:rPr>
          <w:rFonts w:eastAsia="Times New Roman"/>
          <w:lang w:val="es-MX" w:eastAsia="es-ES"/>
        </w:rPr>
      </w:pPr>
    </w:p>
    <w:p w14:paraId="6A24D461" w14:textId="77777777" w:rsidR="00827A41" w:rsidRPr="008F3AB1" w:rsidRDefault="00827A41" w:rsidP="005306CE">
      <w:pPr>
        <w:pStyle w:val="Prrafodelista"/>
        <w:widowControl/>
        <w:numPr>
          <w:ilvl w:val="0"/>
          <w:numId w:val="46"/>
        </w:numPr>
        <w:autoSpaceDE/>
        <w:autoSpaceDN/>
        <w:contextualSpacing/>
        <w:rPr>
          <w:rFonts w:eastAsia="Times New Roman"/>
          <w:lang w:val="es-MX" w:eastAsia="es-ES"/>
        </w:rPr>
      </w:pPr>
      <w:r w:rsidRPr="008F3AB1">
        <w:rPr>
          <w:rFonts w:eastAsia="Times New Roman"/>
          <w:lang w:val="es-MX" w:eastAsia="es-ES"/>
        </w:rPr>
        <w:t>Las concesiones para uso agrícola y silvicultura, podrán incluir la obligación del usuario de construir y mantener los sistemas de drenaje y desagüe adecuados para prevenir la erosión, revenimiento (hundimiento) y salinización de los suelos, en todo caso, dependerá de las particularidades de cada proyecto, obra o actividad de cultivos de aguacate.</w:t>
      </w:r>
    </w:p>
    <w:p w14:paraId="21F48C2B" w14:textId="77777777" w:rsidR="00827A41" w:rsidRPr="008F3AB1" w:rsidRDefault="00827A41" w:rsidP="00827A41">
      <w:pPr>
        <w:pStyle w:val="Prrafodelista"/>
        <w:rPr>
          <w:rFonts w:eastAsia="Times New Roman"/>
          <w:lang w:val="es-MX" w:eastAsia="es-ES"/>
        </w:rPr>
      </w:pPr>
    </w:p>
    <w:p w14:paraId="3DB21BEC" w14:textId="77777777" w:rsidR="00827A41" w:rsidRPr="008F3AB1" w:rsidRDefault="00827A41" w:rsidP="005306CE">
      <w:pPr>
        <w:pStyle w:val="Prrafodelista"/>
        <w:widowControl/>
        <w:numPr>
          <w:ilvl w:val="0"/>
          <w:numId w:val="46"/>
        </w:numPr>
        <w:autoSpaceDE/>
        <w:autoSpaceDN/>
        <w:contextualSpacing/>
        <w:rPr>
          <w:rFonts w:eastAsia="Times New Roman"/>
          <w:lang w:val="es-MX" w:eastAsia="es-ES"/>
        </w:rPr>
      </w:pPr>
      <w:r w:rsidRPr="008F3AB1">
        <w:rPr>
          <w:rFonts w:eastAsia="Times New Roman"/>
          <w:lang w:val="es-MX" w:eastAsia="es-ES"/>
        </w:rPr>
        <w:t xml:space="preserve">Cualquier actividad que requiera permiso de aprovechamiento único de bosque natural en reserva forestal de Ley 2ª, la autoridad ambiental territorial deberá </w:t>
      </w:r>
      <w:r w:rsidRPr="008F3AB1">
        <w:rPr>
          <w:rFonts w:eastAsia="Times New Roman"/>
          <w:u w:val="single"/>
          <w:lang w:val="es-MX" w:eastAsia="es-ES"/>
        </w:rPr>
        <w:t>requerir el trámite la sustracción previa</w:t>
      </w:r>
      <w:r w:rsidRPr="008F3AB1">
        <w:rPr>
          <w:rFonts w:eastAsia="Times New Roman"/>
          <w:lang w:val="es-MX" w:eastAsia="es-ES"/>
        </w:rPr>
        <w:t xml:space="preserve"> del área a intervenir, ante el Ministerio de Ambiente y Desarrollo Sostenible.   </w:t>
      </w:r>
    </w:p>
    <w:p w14:paraId="74E5FF74" w14:textId="77777777" w:rsidR="00827A41" w:rsidRPr="008F3AB1" w:rsidRDefault="00827A41" w:rsidP="00827A41">
      <w:pPr>
        <w:pStyle w:val="Prrafodelista"/>
        <w:rPr>
          <w:rFonts w:eastAsia="Times New Roman"/>
          <w:lang w:val="es-MX" w:eastAsia="es-ES"/>
        </w:rPr>
      </w:pPr>
    </w:p>
    <w:p w14:paraId="3685F35C" w14:textId="77777777" w:rsidR="00827A41" w:rsidRPr="008F3AB1" w:rsidRDefault="00827A41" w:rsidP="005306CE">
      <w:pPr>
        <w:pStyle w:val="Prrafodelista"/>
        <w:widowControl/>
        <w:numPr>
          <w:ilvl w:val="0"/>
          <w:numId w:val="46"/>
        </w:numPr>
        <w:autoSpaceDE/>
        <w:autoSpaceDN/>
        <w:contextualSpacing/>
        <w:rPr>
          <w:rFonts w:eastAsia="Times New Roman"/>
          <w:lang w:val="es-MX" w:eastAsia="es-ES"/>
        </w:rPr>
      </w:pPr>
      <w:r w:rsidRPr="008F3AB1">
        <w:rPr>
          <w:rFonts w:eastAsia="Times New Roman"/>
          <w:lang w:val="es-MX" w:eastAsia="es-ES"/>
        </w:rPr>
        <w:t>La autoridad ambiental, se podrá apoyar en la información del plan de ordenación forestal - POF o en la zonificación ambiental de los planes de ordenación y manejo de cuencas hidrográficas en caso de contar con los mismos. Ejemplo de ello es en caso de encontrar tala de bosques para establecer cultivos, invasión de rondas hídricas, ubicación en zonas de riesgo, es aplicable los correspondientes procesos sancionatorios en el marco del aprovechamiento forestal o por cambio de uso del suelo sin previa sustracción en aquellas zonas que se requiera.</w:t>
      </w:r>
    </w:p>
    <w:p w14:paraId="4BD5F1C1" w14:textId="77777777" w:rsidR="00827A41" w:rsidRPr="008F3AB1" w:rsidRDefault="00827A41" w:rsidP="00827A41">
      <w:pPr>
        <w:pStyle w:val="Prrafodelista"/>
        <w:rPr>
          <w:rFonts w:eastAsia="Times New Roman"/>
          <w:lang w:val="es-MX" w:eastAsia="es-ES"/>
        </w:rPr>
      </w:pPr>
    </w:p>
    <w:p w14:paraId="69A85114" w14:textId="77777777" w:rsidR="00827A41" w:rsidRPr="008F3AB1" w:rsidRDefault="00827A41" w:rsidP="005306CE">
      <w:pPr>
        <w:pStyle w:val="Prrafodelista"/>
        <w:widowControl/>
        <w:numPr>
          <w:ilvl w:val="0"/>
          <w:numId w:val="46"/>
        </w:numPr>
        <w:autoSpaceDE/>
        <w:autoSpaceDN/>
        <w:contextualSpacing/>
        <w:rPr>
          <w:rFonts w:eastAsia="Times New Roman"/>
          <w:lang w:val="es-MX" w:eastAsia="es-ES"/>
        </w:rPr>
      </w:pPr>
      <w:r w:rsidRPr="008F3AB1">
        <w:rPr>
          <w:rFonts w:eastAsia="Times New Roman"/>
          <w:lang w:val="es-MX" w:eastAsia="es-ES"/>
        </w:rPr>
        <w:t>Se deberá tener en cuenta la frontera agrícola, la cual está condicionada para la zonificación ambiental de Ley 2 de 1959. En este sentido, en las zonas que permiten de manera condicionada el establecimiento de actividades agropecuarias de cultivo de aguacate se dará prioridad a los esquemas productivos que soportan la economía campesina, familiar y comunitaria, por tanto, las actividades agropecuarias de gran escala están prohibidas.</w:t>
      </w:r>
    </w:p>
    <w:p w14:paraId="793B4F8B" w14:textId="77777777" w:rsidR="00827A41" w:rsidRPr="008F3AB1" w:rsidRDefault="00827A41" w:rsidP="00827A41">
      <w:pPr>
        <w:pStyle w:val="Prrafodelista"/>
        <w:rPr>
          <w:rFonts w:eastAsia="Times New Roman"/>
          <w:lang w:val="es-ES_tradnl" w:eastAsia="es-ES"/>
        </w:rPr>
      </w:pPr>
    </w:p>
    <w:p w14:paraId="73677B2F" w14:textId="77777777" w:rsidR="00827A41" w:rsidRPr="008F3AB1" w:rsidRDefault="00827A41" w:rsidP="005306CE">
      <w:pPr>
        <w:pStyle w:val="Prrafodelista"/>
        <w:widowControl/>
        <w:numPr>
          <w:ilvl w:val="0"/>
          <w:numId w:val="46"/>
        </w:numPr>
        <w:autoSpaceDE/>
        <w:autoSpaceDN/>
        <w:contextualSpacing/>
        <w:rPr>
          <w:rFonts w:eastAsia="Times New Roman"/>
          <w:lang w:val="es-MX" w:eastAsia="es-ES"/>
        </w:rPr>
      </w:pPr>
      <w:r w:rsidRPr="008F3AB1">
        <w:rPr>
          <w:rFonts w:eastAsia="Times New Roman"/>
          <w:lang w:val="es-ES_tradnl" w:eastAsia="es-ES"/>
        </w:rPr>
        <w:t>Las sustracciones de las reservas forestales de Ley 2ª de 1959 se regirán por las directrices contenidas en la normativa vigente. De cualquier manera, en las zonas en las cuales sea viable el establecimiento de cultivo de aguacate, se requerirá sustracción para la construcción de infraestructura para el aprovechamiento, transformación o almacenamiento del producto frutal, para la construcción de nuevas vías, entre otras actividades descritas en estas normas, salvo el mantenimiento vial de vias existentes.</w:t>
      </w:r>
    </w:p>
    <w:p w14:paraId="63EDA54B" w14:textId="77777777" w:rsidR="00827A41" w:rsidRPr="008F3AB1" w:rsidRDefault="00827A41" w:rsidP="00827A41">
      <w:pPr>
        <w:pStyle w:val="Prrafodelista"/>
        <w:rPr>
          <w:lang w:val="es-MX" w:eastAsia="es-ES"/>
        </w:rPr>
      </w:pPr>
    </w:p>
    <w:p w14:paraId="2EEB2BC1" w14:textId="77777777" w:rsidR="00827A41" w:rsidRPr="008F3AB1" w:rsidRDefault="00827A41" w:rsidP="005306CE">
      <w:pPr>
        <w:pStyle w:val="Prrafodelista"/>
        <w:widowControl/>
        <w:numPr>
          <w:ilvl w:val="0"/>
          <w:numId w:val="46"/>
        </w:numPr>
        <w:autoSpaceDE/>
        <w:autoSpaceDN/>
        <w:contextualSpacing/>
        <w:rPr>
          <w:rFonts w:eastAsia="Times New Roman"/>
          <w:lang w:val="es-MX" w:eastAsia="es-ES"/>
        </w:rPr>
      </w:pPr>
      <w:r w:rsidRPr="008F3AB1">
        <w:rPr>
          <w:lang w:val="es-MX" w:eastAsia="es-ES"/>
        </w:rPr>
        <w:t>Al interior de las reservas forestales de Ley 2ª de 1959, prima el ordenamiento ambiental territorial, por lo que el desarrollo o el establecimiento de cultivos, deberán atender los lineamientos y medidas de manejo aplicables a cada una de ellas, definidas por la autoridad ambiental competente.  En caso de encontrar actividades productivas en zonas que no posibilitan su desarrollo, deberá facilitarse la reconversión de las actividades compatibles con la zonificación de Ley 2 de 1959.</w:t>
      </w:r>
    </w:p>
    <w:p w14:paraId="0EFA481C" w14:textId="77777777" w:rsidR="00827A41" w:rsidRPr="008F3AB1" w:rsidRDefault="00827A41" w:rsidP="00827A41">
      <w:pPr>
        <w:pStyle w:val="Prrafodelista"/>
        <w:rPr>
          <w:lang w:val="es-MX" w:eastAsia="es-ES"/>
        </w:rPr>
      </w:pPr>
    </w:p>
    <w:p w14:paraId="32AD081B" w14:textId="77777777" w:rsidR="00827A41" w:rsidRPr="008F3AB1" w:rsidRDefault="00827A41" w:rsidP="005306CE">
      <w:pPr>
        <w:pStyle w:val="Prrafodelista"/>
        <w:widowControl/>
        <w:numPr>
          <w:ilvl w:val="0"/>
          <w:numId w:val="46"/>
        </w:numPr>
        <w:autoSpaceDE/>
        <w:autoSpaceDN/>
        <w:contextualSpacing/>
        <w:rPr>
          <w:rFonts w:eastAsia="Times New Roman"/>
          <w:lang w:val="es-MX" w:eastAsia="es-ES"/>
        </w:rPr>
      </w:pPr>
      <w:r w:rsidRPr="008F3AB1">
        <w:rPr>
          <w:lang w:val="es-MX" w:eastAsia="es-ES"/>
        </w:rPr>
        <w:t>La sostenibilidad ambiental, entendida como el equilibrio entre la oferta natural y los procesos ecológicos y los sistemas productivos debe desarrollarse con un enfoque hacia la restauración ecológica, rehabilitación y recuperación de las áreas disturbadas o alteradas, que permita disminuir la vulnerabilidad del territorio, generada por las dinámicas de ocupación y explotación, reduciendo el riesgo a fenómenos naturales y proyectando un mejor nivel de vida a la sociedad.</w:t>
      </w:r>
    </w:p>
    <w:p w14:paraId="331CB48C" w14:textId="77777777" w:rsidR="00827A41" w:rsidRPr="008F3AB1" w:rsidRDefault="00827A41" w:rsidP="00827A41">
      <w:pPr>
        <w:autoSpaceDE w:val="0"/>
        <w:autoSpaceDN w:val="0"/>
        <w:adjustRightInd w:val="0"/>
        <w:spacing w:after="0"/>
        <w:ind w:right="49"/>
        <w:rPr>
          <w:rFonts w:cs="Arial"/>
          <w:lang w:val="es-ES_tradnl" w:eastAsia="es-ES"/>
        </w:rPr>
      </w:pPr>
    </w:p>
    <w:p w14:paraId="6F47364C" w14:textId="77777777" w:rsidR="00827A41" w:rsidRPr="008F3AB1" w:rsidRDefault="00827A41" w:rsidP="005306CE">
      <w:pPr>
        <w:pStyle w:val="Ttulo1"/>
        <w:keepNext/>
        <w:keepLines/>
        <w:widowControl/>
        <w:numPr>
          <w:ilvl w:val="2"/>
          <w:numId w:val="43"/>
        </w:numPr>
        <w:autoSpaceDE/>
        <w:autoSpaceDN/>
        <w:spacing w:before="240"/>
        <w:rPr>
          <w:rFonts w:eastAsiaTheme="minorEastAsia"/>
          <w:lang w:val="es-ES_tradnl" w:eastAsia="es-ES"/>
        </w:rPr>
      </w:pPr>
      <w:bookmarkStart w:id="21" w:name="_Toc211877959"/>
      <w:r w:rsidRPr="008F3AB1">
        <w:rPr>
          <w:rFonts w:eastAsiaTheme="minorEastAsia"/>
          <w:lang w:val="es-ES_tradnl" w:eastAsia="es-ES"/>
        </w:rPr>
        <w:t>Otros aspectos por considerar con respecto a la zonificación y el ordenamiento ambiental</w:t>
      </w:r>
      <w:bookmarkEnd w:id="21"/>
      <w:r w:rsidRPr="008F3AB1">
        <w:rPr>
          <w:rFonts w:eastAsiaTheme="minorEastAsia"/>
          <w:lang w:val="es-ES_tradnl" w:eastAsia="es-ES"/>
        </w:rPr>
        <w:t xml:space="preserve"> </w:t>
      </w:r>
    </w:p>
    <w:p w14:paraId="19FB00D7" w14:textId="77777777" w:rsidR="00827A41" w:rsidRPr="008F3AB1" w:rsidRDefault="00827A41" w:rsidP="00827A41">
      <w:pPr>
        <w:rPr>
          <w:rFonts w:cs="Arial"/>
          <w:lang w:val="es-ES_tradnl" w:eastAsia="es-ES"/>
        </w:rPr>
      </w:pPr>
    </w:p>
    <w:p w14:paraId="4D5BFC11" w14:textId="77777777" w:rsidR="00827A41" w:rsidRPr="008F3AB1" w:rsidRDefault="00827A41" w:rsidP="00827A41">
      <w:pPr>
        <w:autoSpaceDE w:val="0"/>
        <w:autoSpaceDN w:val="0"/>
        <w:adjustRightInd w:val="0"/>
        <w:spacing w:after="0"/>
        <w:ind w:right="49"/>
        <w:rPr>
          <w:rFonts w:cs="Arial"/>
        </w:rPr>
      </w:pPr>
      <w:r w:rsidRPr="008F3AB1">
        <w:rPr>
          <w:rFonts w:cs="Arial"/>
        </w:rPr>
        <w:t>En el territorio se pueden encontrar otras figuras que no necesariamente son determinantes ambientales, pero pueden traslaparse parcial o totalmente; por ende, deben ser objeto de análisis por parte de la autoridad ambiental territorial.</w:t>
      </w:r>
    </w:p>
    <w:p w14:paraId="5CE1E859" w14:textId="77777777" w:rsidR="00827A41" w:rsidRPr="008F3AB1" w:rsidRDefault="00827A41" w:rsidP="00827A41">
      <w:pPr>
        <w:autoSpaceDE w:val="0"/>
        <w:autoSpaceDN w:val="0"/>
        <w:adjustRightInd w:val="0"/>
        <w:spacing w:after="0"/>
        <w:ind w:right="49"/>
        <w:rPr>
          <w:rFonts w:cs="Arial"/>
        </w:rPr>
      </w:pPr>
    </w:p>
    <w:p w14:paraId="619B85CE" w14:textId="77777777" w:rsidR="00827A41" w:rsidRPr="008F3AB1" w:rsidRDefault="00827A41" w:rsidP="005306CE">
      <w:pPr>
        <w:pStyle w:val="Prrafodelista"/>
        <w:widowControl/>
        <w:numPr>
          <w:ilvl w:val="0"/>
          <w:numId w:val="36"/>
        </w:numPr>
        <w:adjustRightInd w:val="0"/>
        <w:ind w:left="0" w:right="49" w:firstLine="0"/>
        <w:contextualSpacing/>
        <w:rPr>
          <w:lang w:val="es-MX"/>
        </w:rPr>
      </w:pPr>
      <w:r w:rsidRPr="008F3AB1">
        <w:rPr>
          <w:b/>
          <w:lang w:val="es-MX"/>
        </w:rPr>
        <w:t>Distinciones internacionales:</w:t>
      </w:r>
      <w:r w:rsidRPr="008F3AB1">
        <w:rPr>
          <w:lang w:val="es-MX"/>
        </w:rPr>
        <w:t xml:space="preserve"> </w:t>
      </w:r>
      <w:r w:rsidRPr="008F3AB1">
        <w:rPr>
          <w:i/>
          <w:u w:val="single"/>
          <w:lang w:val="es-MX"/>
        </w:rPr>
        <w:t>Reservas de la biósfera</w:t>
      </w:r>
      <w:r w:rsidRPr="008F3AB1">
        <w:rPr>
          <w:lang w:val="es-MX"/>
        </w:rPr>
        <w:t xml:space="preserve">, de acuerdo con la Convención sobre la protección del patrimonio mundial, cultural y natural; </w:t>
      </w:r>
      <w:r w:rsidRPr="008F3AB1">
        <w:rPr>
          <w:i/>
          <w:u w:val="single"/>
          <w:lang w:val="es-MX"/>
        </w:rPr>
        <w:t>Ramsar:</w:t>
      </w:r>
      <w:r w:rsidRPr="008F3AB1">
        <w:rPr>
          <w:lang w:val="es-MX"/>
        </w:rPr>
        <w:t xml:space="preserve"> la «Convención sobre los humedales de importancia internacional», para garantizar la conservación y el uso racional de los humedales de importancia regional (en el trayecto de rutas de aves migratorias) y sus recursos, que de acuerdo con lo establecido en l</w:t>
      </w:r>
      <w:r w:rsidRPr="008F3AB1">
        <w:rPr>
          <w:color w:val="000000"/>
          <w:sz w:val="20"/>
          <w:szCs w:val="20"/>
          <w:lang w:val="es-MX"/>
        </w:rPr>
        <w:t xml:space="preserve">a </w:t>
      </w:r>
      <w:r w:rsidRPr="008F3AB1">
        <w:rPr>
          <w:color w:val="000000"/>
          <w:szCs w:val="20"/>
          <w:lang w:val="es-MX"/>
        </w:rPr>
        <w:t>Ley 1753 de 2015 señala en el parágrafo del articulo 172 la prohibición de adelantar actividades agropecuarias de alto impacto ambiental, de exploración y explotación de hidrocarburos y de minerales en estos humedales</w:t>
      </w:r>
      <w:r w:rsidRPr="008F3AB1">
        <w:rPr>
          <w:lang w:val="es-MX"/>
        </w:rPr>
        <w:t xml:space="preserve">. </w:t>
      </w:r>
    </w:p>
    <w:p w14:paraId="26692A1F" w14:textId="77777777" w:rsidR="00827A41" w:rsidRPr="008F3AB1" w:rsidRDefault="00827A41" w:rsidP="00827A41">
      <w:pPr>
        <w:pStyle w:val="Prrafodelista"/>
        <w:adjustRightInd w:val="0"/>
        <w:ind w:left="0" w:right="49"/>
        <w:rPr>
          <w:b/>
          <w:lang w:val="es-MX"/>
        </w:rPr>
      </w:pPr>
    </w:p>
    <w:p w14:paraId="2B81AB86" w14:textId="77777777" w:rsidR="00827A41" w:rsidRPr="008F3AB1" w:rsidRDefault="00827A41" w:rsidP="00827A41">
      <w:pPr>
        <w:pStyle w:val="Prrafodelista"/>
        <w:adjustRightInd w:val="0"/>
        <w:ind w:left="0" w:right="49"/>
        <w:rPr>
          <w:lang w:val="es-MX"/>
        </w:rPr>
      </w:pPr>
      <w:r w:rsidRPr="008F3AB1">
        <w:rPr>
          <w:lang w:val="es-MX"/>
        </w:rPr>
        <w:t xml:space="preserve">Los territorios con este tipo de distinciones internacionales también deben contar con plan de manejo ambiental, por lo cual las áreas en las cuales potencialmente se pueden desarrollar las actividades agropecuarias, también están definidas en este instrumento o en los objetivos de su declaratoria. </w:t>
      </w:r>
    </w:p>
    <w:p w14:paraId="289DF95D" w14:textId="77777777" w:rsidR="00827A41" w:rsidRPr="008F3AB1" w:rsidRDefault="00827A41" w:rsidP="00827A41">
      <w:pPr>
        <w:autoSpaceDE w:val="0"/>
        <w:autoSpaceDN w:val="0"/>
        <w:adjustRightInd w:val="0"/>
        <w:spacing w:after="0"/>
        <w:ind w:right="49"/>
        <w:rPr>
          <w:rFonts w:cs="Arial"/>
        </w:rPr>
      </w:pPr>
    </w:p>
    <w:p w14:paraId="4F743BC7" w14:textId="0BEB10E6" w:rsidR="00827A41" w:rsidRPr="008F3AB1" w:rsidRDefault="00827A41" w:rsidP="005306CE">
      <w:pPr>
        <w:pStyle w:val="Prrafodelista"/>
        <w:widowControl/>
        <w:numPr>
          <w:ilvl w:val="0"/>
          <w:numId w:val="36"/>
        </w:numPr>
        <w:adjustRightInd w:val="0"/>
        <w:ind w:left="0" w:right="49" w:firstLine="0"/>
        <w:contextualSpacing/>
        <w:rPr>
          <w:lang w:val="es-MX"/>
        </w:rPr>
      </w:pPr>
      <w:r w:rsidRPr="008F3AB1">
        <w:rPr>
          <w:b/>
          <w:lang w:val="es-MX"/>
        </w:rPr>
        <w:t>Áreas de interés cultural y social:</w:t>
      </w:r>
      <w:r w:rsidRPr="008F3AB1">
        <w:rPr>
          <w:lang w:val="es-MX"/>
        </w:rPr>
        <w:t xml:space="preserve"> en esta categoría se encuentran las Tierras de las comunidades negras (consejos comunitarios), resguardos indígenas, zonas de reserva campesina, áreas de paisaje cultural, parques y áreas arqueológicas protegidas. Todas estas figuras deben contar con instrumentos de planificación que se describen a continuación</w:t>
      </w:r>
      <w:r w:rsidR="005D03D6" w:rsidRPr="008F3AB1">
        <w:rPr>
          <w:lang w:val="es-MX"/>
        </w:rPr>
        <w:t>:</w:t>
      </w:r>
    </w:p>
    <w:p w14:paraId="6ED069B1" w14:textId="32A822FE" w:rsidR="00E70650" w:rsidRPr="008F3AB1" w:rsidRDefault="00E70650" w:rsidP="00E70650">
      <w:pPr>
        <w:adjustRightInd w:val="0"/>
        <w:ind w:right="49"/>
        <w:contextualSpacing/>
        <w:rPr>
          <w:lang w:val="es-MX"/>
        </w:rPr>
      </w:pPr>
    </w:p>
    <w:p w14:paraId="77534023" w14:textId="3BF919BE" w:rsidR="005D03D6" w:rsidRPr="008F3AB1" w:rsidRDefault="005D03D6" w:rsidP="005D03D6">
      <w:pPr>
        <w:pStyle w:val="Descripcin"/>
        <w:rPr>
          <w:lang w:val="es-MX"/>
        </w:rPr>
      </w:pPr>
      <w:bookmarkStart w:id="22" w:name="_Toc211877984"/>
      <w:r w:rsidRPr="008F3AB1">
        <w:t xml:space="preserve">Tabla </w:t>
      </w:r>
      <w:r w:rsidRPr="008F3AB1">
        <w:fldChar w:fldCharType="begin"/>
      </w:r>
      <w:r w:rsidRPr="008F3AB1">
        <w:instrText xml:space="preserve"> SEQ Tabla \* ARABIC </w:instrText>
      </w:r>
      <w:r w:rsidRPr="008F3AB1">
        <w:fldChar w:fldCharType="separate"/>
      </w:r>
      <w:r w:rsidRPr="008F3AB1">
        <w:rPr>
          <w:noProof/>
        </w:rPr>
        <w:t>1</w:t>
      </w:r>
      <w:r w:rsidRPr="008F3AB1">
        <w:fldChar w:fldCharType="end"/>
      </w:r>
      <w:r w:rsidRPr="008F3AB1">
        <w:t xml:space="preserve"> Otras figuras de ordenamiento territorial a tener en cuenta en el establecimiento de cultivos de aguacate.</w:t>
      </w:r>
      <w:bookmarkEnd w:id="22"/>
    </w:p>
    <w:tbl>
      <w:tblPr>
        <w:tblStyle w:val="Tablaconcuadrcula"/>
        <w:tblW w:w="0" w:type="auto"/>
        <w:tblInd w:w="54" w:type="dxa"/>
        <w:tblLook w:val="04A0" w:firstRow="1" w:lastRow="0" w:firstColumn="1" w:lastColumn="0" w:noHBand="0" w:noVBand="1"/>
      </w:tblPr>
      <w:tblGrid>
        <w:gridCol w:w="2928"/>
        <w:gridCol w:w="2923"/>
        <w:gridCol w:w="2923"/>
      </w:tblGrid>
      <w:tr w:rsidR="00E70650" w:rsidRPr="008F3AB1" w14:paraId="430A4780" w14:textId="77777777" w:rsidTr="00E24C10">
        <w:trPr>
          <w:tblHeader/>
        </w:trPr>
        <w:tc>
          <w:tcPr>
            <w:tcW w:w="2928" w:type="dxa"/>
          </w:tcPr>
          <w:p w14:paraId="3F99E8D1" w14:textId="77777777" w:rsidR="00E70650" w:rsidRPr="008F3AB1" w:rsidRDefault="00E70650" w:rsidP="00E70650">
            <w:pPr>
              <w:adjustRightInd w:val="0"/>
              <w:ind w:right="49"/>
              <w:contextualSpacing/>
              <w:rPr>
                <w:b/>
                <w:bCs/>
                <w:sz w:val="20"/>
                <w:lang w:val="es-ES"/>
              </w:rPr>
            </w:pPr>
            <w:r w:rsidRPr="008F3AB1">
              <w:rPr>
                <w:b/>
                <w:bCs/>
                <w:sz w:val="20"/>
                <w:lang w:val="es-ES"/>
              </w:rPr>
              <w:t>Figura</w:t>
            </w:r>
          </w:p>
        </w:tc>
        <w:tc>
          <w:tcPr>
            <w:tcW w:w="2923" w:type="dxa"/>
          </w:tcPr>
          <w:p w14:paraId="0E8576B1" w14:textId="77777777" w:rsidR="00E70650" w:rsidRPr="008F3AB1" w:rsidRDefault="00E70650" w:rsidP="00E70650">
            <w:pPr>
              <w:adjustRightInd w:val="0"/>
              <w:ind w:right="49"/>
              <w:contextualSpacing/>
              <w:rPr>
                <w:b/>
                <w:bCs/>
                <w:sz w:val="20"/>
                <w:lang w:val="es-ES"/>
              </w:rPr>
            </w:pPr>
            <w:r w:rsidRPr="008F3AB1">
              <w:rPr>
                <w:b/>
                <w:bCs/>
                <w:sz w:val="20"/>
                <w:lang w:val="es-ES"/>
              </w:rPr>
              <w:t>Instrumento de planificación</w:t>
            </w:r>
          </w:p>
        </w:tc>
        <w:tc>
          <w:tcPr>
            <w:tcW w:w="2923" w:type="dxa"/>
          </w:tcPr>
          <w:p w14:paraId="312712D5" w14:textId="77777777" w:rsidR="00E70650" w:rsidRPr="008F3AB1" w:rsidRDefault="00E70650" w:rsidP="00E70650">
            <w:pPr>
              <w:adjustRightInd w:val="0"/>
              <w:ind w:right="49"/>
              <w:contextualSpacing/>
              <w:rPr>
                <w:b/>
                <w:bCs/>
                <w:sz w:val="20"/>
                <w:lang w:val="es-ES"/>
              </w:rPr>
            </w:pPr>
            <w:r w:rsidRPr="008F3AB1">
              <w:rPr>
                <w:b/>
                <w:bCs/>
                <w:sz w:val="20"/>
                <w:lang w:val="es-ES"/>
              </w:rPr>
              <w:t>Entidad responsable para su expedición</w:t>
            </w:r>
          </w:p>
        </w:tc>
      </w:tr>
      <w:tr w:rsidR="00E70650" w:rsidRPr="008F3AB1" w14:paraId="19ED9C27" w14:textId="77777777" w:rsidTr="00E24C10">
        <w:tc>
          <w:tcPr>
            <w:tcW w:w="2928" w:type="dxa"/>
          </w:tcPr>
          <w:p w14:paraId="7C65D655" w14:textId="77777777" w:rsidR="00E70650" w:rsidRPr="008F3AB1" w:rsidRDefault="00E70650" w:rsidP="00E70650">
            <w:pPr>
              <w:adjustRightInd w:val="0"/>
              <w:ind w:right="49"/>
              <w:contextualSpacing/>
              <w:rPr>
                <w:sz w:val="20"/>
                <w:lang w:val="es-ES"/>
              </w:rPr>
            </w:pPr>
            <w:r w:rsidRPr="008F3AB1">
              <w:rPr>
                <w:sz w:val="20"/>
                <w:lang w:val="es-ES"/>
              </w:rPr>
              <w:t>Tierras de comunidades negras</w:t>
            </w:r>
          </w:p>
        </w:tc>
        <w:tc>
          <w:tcPr>
            <w:tcW w:w="2923" w:type="dxa"/>
          </w:tcPr>
          <w:p w14:paraId="69DC7D1A" w14:textId="77777777" w:rsidR="00E70650" w:rsidRPr="008F3AB1" w:rsidRDefault="00E70650" w:rsidP="00E70650">
            <w:pPr>
              <w:adjustRightInd w:val="0"/>
              <w:ind w:right="49"/>
              <w:contextualSpacing/>
              <w:rPr>
                <w:sz w:val="20"/>
                <w:lang w:val="es-ES"/>
              </w:rPr>
            </w:pPr>
            <w:r w:rsidRPr="008F3AB1">
              <w:rPr>
                <w:sz w:val="20"/>
                <w:lang w:val="es-ES"/>
              </w:rPr>
              <w:t xml:space="preserve">Planes de Etnodesarrollo </w:t>
            </w:r>
          </w:p>
        </w:tc>
        <w:tc>
          <w:tcPr>
            <w:tcW w:w="2923" w:type="dxa"/>
          </w:tcPr>
          <w:p w14:paraId="4AB842F5" w14:textId="77777777" w:rsidR="00E70650" w:rsidRPr="008F3AB1" w:rsidRDefault="00E70650" w:rsidP="00E70650">
            <w:pPr>
              <w:adjustRightInd w:val="0"/>
              <w:ind w:right="49"/>
              <w:contextualSpacing/>
              <w:rPr>
                <w:sz w:val="20"/>
                <w:lang w:val="es-ES"/>
              </w:rPr>
            </w:pPr>
            <w:r w:rsidRPr="008F3AB1">
              <w:rPr>
                <w:sz w:val="20"/>
                <w:lang w:val="es-ES"/>
              </w:rPr>
              <w:t>Asamblea de la comunidad negra</w:t>
            </w:r>
          </w:p>
        </w:tc>
      </w:tr>
      <w:tr w:rsidR="00E70650" w:rsidRPr="008F3AB1" w14:paraId="6041E747" w14:textId="77777777" w:rsidTr="00E24C10">
        <w:tc>
          <w:tcPr>
            <w:tcW w:w="2928" w:type="dxa"/>
          </w:tcPr>
          <w:p w14:paraId="4B8C5444" w14:textId="77777777" w:rsidR="00E70650" w:rsidRPr="008F3AB1" w:rsidRDefault="00E70650" w:rsidP="00E70650">
            <w:pPr>
              <w:adjustRightInd w:val="0"/>
              <w:ind w:right="49"/>
              <w:contextualSpacing/>
              <w:rPr>
                <w:sz w:val="20"/>
                <w:lang w:val="es-ES"/>
              </w:rPr>
            </w:pPr>
            <w:r w:rsidRPr="008F3AB1">
              <w:rPr>
                <w:sz w:val="20"/>
                <w:lang w:val="es-ES"/>
              </w:rPr>
              <w:t>Resguardos indígenas</w:t>
            </w:r>
          </w:p>
        </w:tc>
        <w:tc>
          <w:tcPr>
            <w:tcW w:w="2923" w:type="dxa"/>
          </w:tcPr>
          <w:p w14:paraId="61899536" w14:textId="77777777" w:rsidR="00E70650" w:rsidRPr="008F3AB1" w:rsidRDefault="00E70650" w:rsidP="00E70650">
            <w:pPr>
              <w:adjustRightInd w:val="0"/>
              <w:ind w:right="49"/>
              <w:contextualSpacing/>
              <w:rPr>
                <w:sz w:val="20"/>
                <w:lang w:val="es-ES"/>
              </w:rPr>
            </w:pPr>
            <w:r w:rsidRPr="008F3AB1">
              <w:rPr>
                <w:sz w:val="20"/>
                <w:lang w:val="es-ES"/>
              </w:rPr>
              <w:t>Planes de vida</w:t>
            </w:r>
          </w:p>
        </w:tc>
        <w:tc>
          <w:tcPr>
            <w:tcW w:w="2923" w:type="dxa"/>
          </w:tcPr>
          <w:p w14:paraId="762E10A8" w14:textId="77777777" w:rsidR="00E70650" w:rsidRPr="008F3AB1" w:rsidRDefault="00E70650" w:rsidP="00E70650">
            <w:pPr>
              <w:adjustRightInd w:val="0"/>
              <w:ind w:right="49"/>
              <w:contextualSpacing/>
              <w:rPr>
                <w:sz w:val="20"/>
                <w:lang w:val="es-ES"/>
              </w:rPr>
            </w:pPr>
            <w:r w:rsidRPr="008F3AB1">
              <w:rPr>
                <w:sz w:val="20"/>
                <w:lang w:val="es-ES"/>
              </w:rPr>
              <w:t>Comunidad indígena</w:t>
            </w:r>
          </w:p>
        </w:tc>
      </w:tr>
      <w:tr w:rsidR="00E70650" w:rsidRPr="008F3AB1" w14:paraId="191951FA" w14:textId="77777777" w:rsidTr="00E24C10">
        <w:tc>
          <w:tcPr>
            <w:tcW w:w="2928" w:type="dxa"/>
          </w:tcPr>
          <w:p w14:paraId="5B527E82" w14:textId="77777777" w:rsidR="00E70650" w:rsidRPr="008F3AB1" w:rsidRDefault="00E70650" w:rsidP="00E70650">
            <w:pPr>
              <w:adjustRightInd w:val="0"/>
              <w:ind w:right="49"/>
              <w:contextualSpacing/>
              <w:rPr>
                <w:sz w:val="20"/>
                <w:lang w:val="es-ES"/>
              </w:rPr>
            </w:pPr>
            <w:r w:rsidRPr="008F3AB1">
              <w:rPr>
                <w:sz w:val="20"/>
                <w:lang w:val="es-ES"/>
              </w:rPr>
              <w:t>Zonas de reserva campesina</w:t>
            </w:r>
          </w:p>
        </w:tc>
        <w:tc>
          <w:tcPr>
            <w:tcW w:w="2923" w:type="dxa"/>
          </w:tcPr>
          <w:p w14:paraId="06CC3AC4" w14:textId="77777777" w:rsidR="00E70650" w:rsidRPr="008F3AB1" w:rsidRDefault="00E70650" w:rsidP="00E70650">
            <w:pPr>
              <w:adjustRightInd w:val="0"/>
              <w:ind w:right="49"/>
              <w:contextualSpacing/>
              <w:rPr>
                <w:sz w:val="20"/>
                <w:lang w:val="es-ES"/>
              </w:rPr>
            </w:pPr>
            <w:r w:rsidRPr="008F3AB1">
              <w:rPr>
                <w:sz w:val="20"/>
                <w:lang w:val="es-ES"/>
              </w:rPr>
              <w:t>Plan de Desarrollo Sostenible</w:t>
            </w:r>
          </w:p>
        </w:tc>
        <w:tc>
          <w:tcPr>
            <w:tcW w:w="2923" w:type="dxa"/>
          </w:tcPr>
          <w:p w14:paraId="63F71624" w14:textId="77777777" w:rsidR="00E70650" w:rsidRPr="008F3AB1" w:rsidRDefault="00E70650" w:rsidP="00E70650">
            <w:pPr>
              <w:adjustRightInd w:val="0"/>
              <w:ind w:right="49"/>
              <w:contextualSpacing/>
              <w:rPr>
                <w:sz w:val="20"/>
                <w:lang w:val="es-ES"/>
              </w:rPr>
            </w:pPr>
            <w:r w:rsidRPr="008F3AB1">
              <w:rPr>
                <w:sz w:val="20"/>
                <w:lang w:val="es-ES"/>
              </w:rPr>
              <w:t>Comunidades y Ministerio de Agricultura y desarrollo rural mediante sus entidades adscritas.</w:t>
            </w:r>
          </w:p>
        </w:tc>
      </w:tr>
      <w:tr w:rsidR="00E70650" w:rsidRPr="008F3AB1" w14:paraId="26E3BDFC" w14:textId="77777777" w:rsidTr="00E24C10">
        <w:tc>
          <w:tcPr>
            <w:tcW w:w="2928" w:type="dxa"/>
          </w:tcPr>
          <w:p w14:paraId="7B6A90B3" w14:textId="77777777" w:rsidR="00E70650" w:rsidRPr="008F3AB1" w:rsidRDefault="00E70650" w:rsidP="00E70650">
            <w:pPr>
              <w:adjustRightInd w:val="0"/>
              <w:ind w:right="49"/>
              <w:contextualSpacing/>
              <w:rPr>
                <w:sz w:val="20"/>
                <w:lang w:val="es-ES"/>
              </w:rPr>
            </w:pPr>
            <w:r w:rsidRPr="008F3AB1">
              <w:rPr>
                <w:sz w:val="20"/>
                <w:lang w:val="es-ES"/>
              </w:rPr>
              <w:t>Paisaje cultural cafetero</w:t>
            </w:r>
          </w:p>
        </w:tc>
        <w:tc>
          <w:tcPr>
            <w:tcW w:w="2923" w:type="dxa"/>
          </w:tcPr>
          <w:p w14:paraId="423E1BA9" w14:textId="77777777" w:rsidR="00E70650" w:rsidRPr="008F3AB1" w:rsidRDefault="00E70650" w:rsidP="00E70650">
            <w:pPr>
              <w:adjustRightInd w:val="0"/>
              <w:ind w:right="49"/>
              <w:contextualSpacing/>
              <w:rPr>
                <w:sz w:val="20"/>
                <w:lang w:val="es-ES"/>
              </w:rPr>
            </w:pPr>
            <w:r w:rsidRPr="008F3AB1">
              <w:rPr>
                <w:sz w:val="20"/>
                <w:lang w:val="es-ES"/>
              </w:rPr>
              <w:t>Plan de manejo</w:t>
            </w:r>
          </w:p>
        </w:tc>
        <w:tc>
          <w:tcPr>
            <w:tcW w:w="2923" w:type="dxa"/>
          </w:tcPr>
          <w:p w14:paraId="63B80D51" w14:textId="77777777" w:rsidR="00E70650" w:rsidRPr="008F3AB1" w:rsidRDefault="00E70650" w:rsidP="00E70650">
            <w:pPr>
              <w:adjustRightInd w:val="0"/>
              <w:ind w:right="49"/>
              <w:contextualSpacing/>
              <w:rPr>
                <w:sz w:val="20"/>
                <w:lang w:val="es-ES"/>
              </w:rPr>
            </w:pPr>
            <w:r w:rsidRPr="008F3AB1">
              <w:rPr>
                <w:sz w:val="20"/>
                <w:lang w:val="es-ES"/>
              </w:rPr>
              <w:t>Ministerio de Cultura y Federación Nacional de Cafeteros.</w:t>
            </w:r>
          </w:p>
        </w:tc>
      </w:tr>
      <w:tr w:rsidR="00E70650" w:rsidRPr="008F3AB1" w14:paraId="73C81F38" w14:textId="77777777" w:rsidTr="00E24C10">
        <w:tc>
          <w:tcPr>
            <w:tcW w:w="2928" w:type="dxa"/>
          </w:tcPr>
          <w:p w14:paraId="09FC330F" w14:textId="77777777" w:rsidR="00E70650" w:rsidRPr="008F3AB1" w:rsidRDefault="00E70650" w:rsidP="00E70650">
            <w:pPr>
              <w:adjustRightInd w:val="0"/>
              <w:ind w:right="49"/>
              <w:contextualSpacing/>
              <w:rPr>
                <w:sz w:val="20"/>
                <w:lang w:val="es-ES"/>
              </w:rPr>
            </w:pPr>
            <w:r w:rsidRPr="008F3AB1">
              <w:rPr>
                <w:sz w:val="20"/>
                <w:lang w:val="es-ES"/>
              </w:rPr>
              <w:t>Áreas arqueológicamente protegidas</w:t>
            </w:r>
          </w:p>
        </w:tc>
        <w:tc>
          <w:tcPr>
            <w:tcW w:w="2923" w:type="dxa"/>
          </w:tcPr>
          <w:p w14:paraId="2B3F7701" w14:textId="77777777" w:rsidR="00E70650" w:rsidRPr="008F3AB1" w:rsidRDefault="00E70650" w:rsidP="00E70650">
            <w:pPr>
              <w:adjustRightInd w:val="0"/>
              <w:ind w:right="49"/>
              <w:contextualSpacing/>
              <w:rPr>
                <w:sz w:val="20"/>
                <w:lang w:val="es-ES"/>
              </w:rPr>
            </w:pPr>
            <w:r w:rsidRPr="008F3AB1">
              <w:rPr>
                <w:sz w:val="20"/>
                <w:lang w:val="es-ES"/>
              </w:rPr>
              <w:t>Plan de Manejo Arqueológico</w:t>
            </w:r>
          </w:p>
        </w:tc>
        <w:tc>
          <w:tcPr>
            <w:tcW w:w="2923" w:type="dxa"/>
          </w:tcPr>
          <w:p w14:paraId="3CC52FD0" w14:textId="77777777" w:rsidR="00E70650" w:rsidRPr="008F3AB1" w:rsidRDefault="00E70650" w:rsidP="00E70650">
            <w:pPr>
              <w:adjustRightInd w:val="0"/>
              <w:ind w:right="49"/>
              <w:contextualSpacing/>
              <w:rPr>
                <w:sz w:val="20"/>
                <w:lang w:val="es-ES"/>
              </w:rPr>
            </w:pPr>
            <w:r w:rsidRPr="008F3AB1">
              <w:rPr>
                <w:sz w:val="20"/>
                <w:lang w:val="es-ES"/>
              </w:rPr>
              <w:t>Instituto Colombiano de Antropología e Historia – ICANH</w:t>
            </w:r>
          </w:p>
        </w:tc>
      </w:tr>
      <w:tr w:rsidR="00E70650" w:rsidRPr="008F3AB1" w14:paraId="5A54A441" w14:textId="77777777" w:rsidTr="00E24C10">
        <w:tc>
          <w:tcPr>
            <w:tcW w:w="2928" w:type="dxa"/>
          </w:tcPr>
          <w:p w14:paraId="5F628D52" w14:textId="77777777" w:rsidR="00E70650" w:rsidRPr="008F3AB1" w:rsidRDefault="00E70650" w:rsidP="00E70650">
            <w:pPr>
              <w:adjustRightInd w:val="0"/>
              <w:ind w:right="49"/>
              <w:contextualSpacing/>
              <w:rPr>
                <w:sz w:val="20"/>
                <w:lang w:val="es-ES"/>
              </w:rPr>
            </w:pPr>
            <w:r w:rsidRPr="008F3AB1">
              <w:rPr>
                <w:sz w:val="20"/>
                <w:lang w:val="es-ES"/>
              </w:rPr>
              <w:t>Bienes de interés cultural</w:t>
            </w:r>
          </w:p>
        </w:tc>
        <w:tc>
          <w:tcPr>
            <w:tcW w:w="2923" w:type="dxa"/>
          </w:tcPr>
          <w:p w14:paraId="62D464DE" w14:textId="77777777" w:rsidR="00E70650" w:rsidRPr="008F3AB1" w:rsidRDefault="00E70650" w:rsidP="00E70650">
            <w:pPr>
              <w:adjustRightInd w:val="0"/>
              <w:ind w:right="49"/>
              <w:contextualSpacing/>
              <w:rPr>
                <w:sz w:val="20"/>
                <w:lang w:val="es-ES"/>
              </w:rPr>
            </w:pPr>
            <w:r w:rsidRPr="008F3AB1">
              <w:rPr>
                <w:sz w:val="20"/>
                <w:lang w:val="es-ES"/>
              </w:rPr>
              <w:t>Plan Especial de Manejo y Protección – PEMP</w:t>
            </w:r>
          </w:p>
        </w:tc>
        <w:tc>
          <w:tcPr>
            <w:tcW w:w="2923" w:type="dxa"/>
          </w:tcPr>
          <w:p w14:paraId="092E8FF0" w14:textId="77777777" w:rsidR="00E70650" w:rsidRPr="008F3AB1" w:rsidRDefault="00E70650" w:rsidP="00E70650">
            <w:pPr>
              <w:adjustRightInd w:val="0"/>
              <w:ind w:right="49"/>
              <w:contextualSpacing/>
              <w:rPr>
                <w:sz w:val="20"/>
                <w:lang w:val="es-ES"/>
              </w:rPr>
            </w:pPr>
            <w:r w:rsidRPr="008F3AB1">
              <w:rPr>
                <w:sz w:val="20"/>
                <w:lang w:val="es-ES"/>
              </w:rPr>
              <w:t>Ministerio de Cultura.</w:t>
            </w:r>
          </w:p>
        </w:tc>
      </w:tr>
    </w:tbl>
    <w:p w14:paraId="648B5F8C" w14:textId="48CDD479" w:rsidR="00E70650" w:rsidRPr="008F3AB1" w:rsidRDefault="00E70650" w:rsidP="00E70650">
      <w:pPr>
        <w:adjustRightInd w:val="0"/>
        <w:ind w:right="49"/>
        <w:contextualSpacing/>
        <w:rPr>
          <w:lang w:val="es-MX"/>
        </w:rPr>
      </w:pPr>
    </w:p>
    <w:p w14:paraId="1B5D10A8" w14:textId="77777777" w:rsidR="00E70650" w:rsidRPr="008F3AB1" w:rsidRDefault="00E70650" w:rsidP="00E70650">
      <w:pPr>
        <w:adjustRightInd w:val="0"/>
        <w:ind w:right="49"/>
        <w:contextualSpacing/>
        <w:rPr>
          <w:lang w:val="es-MX"/>
        </w:rPr>
      </w:pPr>
    </w:p>
    <w:p w14:paraId="392616B6" w14:textId="6DAD1B9E" w:rsidR="00827A41" w:rsidRPr="008F3AB1" w:rsidRDefault="00827A41" w:rsidP="00827A41">
      <w:pPr>
        <w:pStyle w:val="Prrafodelista"/>
        <w:rPr>
          <w:lang w:val="es-MX"/>
        </w:rPr>
      </w:pPr>
    </w:p>
    <w:p w14:paraId="25096F6A" w14:textId="77777777" w:rsidR="00E70650" w:rsidRPr="008F3AB1" w:rsidRDefault="00E70650" w:rsidP="00827A41">
      <w:pPr>
        <w:pStyle w:val="Prrafodelista"/>
        <w:rPr>
          <w:lang w:val="es-MX"/>
        </w:rPr>
      </w:pPr>
    </w:p>
    <w:tbl>
      <w:tblPr>
        <w:tblStyle w:val="Tablaconcuadrcula"/>
        <w:tblW w:w="0" w:type="auto"/>
        <w:tblInd w:w="54" w:type="dxa"/>
        <w:tblLook w:val="04A0" w:firstRow="1" w:lastRow="0" w:firstColumn="1" w:lastColumn="0" w:noHBand="0" w:noVBand="1"/>
      </w:tblPr>
      <w:tblGrid>
        <w:gridCol w:w="2928"/>
        <w:gridCol w:w="2923"/>
        <w:gridCol w:w="2923"/>
      </w:tblGrid>
      <w:tr w:rsidR="00827A41" w:rsidRPr="008F3AB1" w14:paraId="3B8980AF" w14:textId="77777777" w:rsidTr="00E24C10">
        <w:trPr>
          <w:tblHeader/>
        </w:trPr>
        <w:tc>
          <w:tcPr>
            <w:tcW w:w="2928" w:type="dxa"/>
          </w:tcPr>
          <w:p w14:paraId="054220A8" w14:textId="77777777" w:rsidR="00827A41" w:rsidRPr="008F3AB1" w:rsidRDefault="00827A41" w:rsidP="00E24C10">
            <w:pPr>
              <w:pStyle w:val="Prrafodelista"/>
              <w:adjustRightInd w:val="0"/>
              <w:ind w:left="0" w:right="49"/>
              <w:rPr>
                <w:b/>
                <w:bCs/>
                <w:sz w:val="20"/>
                <w:szCs w:val="20"/>
              </w:rPr>
            </w:pPr>
            <w:r w:rsidRPr="008F3AB1">
              <w:rPr>
                <w:b/>
                <w:bCs/>
                <w:sz w:val="20"/>
                <w:szCs w:val="20"/>
              </w:rPr>
              <w:t>Figura</w:t>
            </w:r>
          </w:p>
        </w:tc>
        <w:tc>
          <w:tcPr>
            <w:tcW w:w="2923" w:type="dxa"/>
          </w:tcPr>
          <w:p w14:paraId="54EB8D05" w14:textId="77777777" w:rsidR="00827A41" w:rsidRPr="008F3AB1" w:rsidRDefault="00827A41" w:rsidP="00E24C10">
            <w:pPr>
              <w:pStyle w:val="Prrafodelista"/>
              <w:adjustRightInd w:val="0"/>
              <w:ind w:left="0" w:right="49"/>
              <w:rPr>
                <w:b/>
                <w:bCs/>
                <w:sz w:val="20"/>
                <w:szCs w:val="20"/>
              </w:rPr>
            </w:pPr>
            <w:r w:rsidRPr="008F3AB1">
              <w:rPr>
                <w:b/>
                <w:bCs/>
                <w:sz w:val="20"/>
                <w:szCs w:val="20"/>
              </w:rPr>
              <w:t>Instrumento de planificación</w:t>
            </w:r>
          </w:p>
        </w:tc>
        <w:tc>
          <w:tcPr>
            <w:tcW w:w="2923" w:type="dxa"/>
          </w:tcPr>
          <w:p w14:paraId="6B8DD74C" w14:textId="77777777" w:rsidR="00827A41" w:rsidRPr="008F3AB1" w:rsidRDefault="00827A41" w:rsidP="00E24C10">
            <w:pPr>
              <w:pStyle w:val="Prrafodelista"/>
              <w:adjustRightInd w:val="0"/>
              <w:ind w:left="0" w:right="49"/>
              <w:rPr>
                <w:b/>
                <w:bCs/>
                <w:sz w:val="20"/>
                <w:szCs w:val="20"/>
                <w:lang w:val="es-MX"/>
              </w:rPr>
            </w:pPr>
            <w:r w:rsidRPr="008F3AB1">
              <w:rPr>
                <w:b/>
                <w:bCs/>
                <w:sz w:val="20"/>
                <w:szCs w:val="20"/>
                <w:lang w:val="es-MX"/>
              </w:rPr>
              <w:t>Entidad responsable para su expedición</w:t>
            </w:r>
          </w:p>
        </w:tc>
      </w:tr>
      <w:tr w:rsidR="00827A41" w:rsidRPr="008F3AB1" w14:paraId="754F8EBB" w14:textId="77777777" w:rsidTr="00E24C10">
        <w:tc>
          <w:tcPr>
            <w:tcW w:w="2928" w:type="dxa"/>
          </w:tcPr>
          <w:p w14:paraId="251AA001" w14:textId="77777777" w:rsidR="00827A41" w:rsidRPr="008F3AB1" w:rsidRDefault="00827A41" w:rsidP="00E24C10">
            <w:pPr>
              <w:pStyle w:val="Prrafodelista"/>
              <w:adjustRightInd w:val="0"/>
              <w:ind w:left="0" w:right="49"/>
              <w:rPr>
                <w:sz w:val="20"/>
                <w:szCs w:val="20"/>
              </w:rPr>
            </w:pPr>
            <w:r w:rsidRPr="008F3AB1">
              <w:rPr>
                <w:sz w:val="20"/>
                <w:szCs w:val="20"/>
              </w:rPr>
              <w:t>Tierras de comunidades negras</w:t>
            </w:r>
          </w:p>
        </w:tc>
        <w:tc>
          <w:tcPr>
            <w:tcW w:w="2923" w:type="dxa"/>
          </w:tcPr>
          <w:p w14:paraId="09790575" w14:textId="77777777" w:rsidR="00827A41" w:rsidRPr="008F3AB1" w:rsidRDefault="00827A41" w:rsidP="00E24C10">
            <w:pPr>
              <w:pStyle w:val="Prrafodelista"/>
              <w:adjustRightInd w:val="0"/>
              <w:ind w:left="0" w:right="49"/>
              <w:rPr>
                <w:sz w:val="20"/>
                <w:szCs w:val="20"/>
              </w:rPr>
            </w:pPr>
            <w:r w:rsidRPr="008F3AB1">
              <w:rPr>
                <w:sz w:val="20"/>
                <w:szCs w:val="20"/>
              </w:rPr>
              <w:t xml:space="preserve">Planes de Etnodesarrollo </w:t>
            </w:r>
          </w:p>
        </w:tc>
        <w:tc>
          <w:tcPr>
            <w:tcW w:w="2923" w:type="dxa"/>
          </w:tcPr>
          <w:p w14:paraId="02D30ABC" w14:textId="77777777" w:rsidR="00827A41" w:rsidRPr="008F3AB1" w:rsidRDefault="00827A41" w:rsidP="00E24C10">
            <w:pPr>
              <w:pStyle w:val="Prrafodelista"/>
              <w:adjustRightInd w:val="0"/>
              <w:ind w:left="0" w:right="49"/>
              <w:rPr>
                <w:sz w:val="20"/>
                <w:szCs w:val="20"/>
                <w:lang w:val="es-MX"/>
              </w:rPr>
            </w:pPr>
            <w:r w:rsidRPr="008F3AB1">
              <w:rPr>
                <w:sz w:val="20"/>
                <w:szCs w:val="20"/>
                <w:lang w:val="es-MX"/>
              </w:rPr>
              <w:t>Asamblea de la comunidad negra</w:t>
            </w:r>
          </w:p>
        </w:tc>
      </w:tr>
      <w:tr w:rsidR="00827A41" w:rsidRPr="008F3AB1" w14:paraId="4856729E" w14:textId="77777777" w:rsidTr="00E24C10">
        <w:tc>
          <w:tcPr>
            <w:tcW w:w="2928" w:type="dxa"/>
          </w:tcPr>
          <w:p w14:paraId="0823A43C" w14:textId="77777777" w:rsidR="00827A41" w:rsidRPr="008F3AB1" w:rsidRDefault="00827A41" w:rsidP="00E24C10">
            <w:pPr>
              <w:pStyle w:val="Prrafodelista"/>
              <w:adjustRightInd w:val="0"/>
              <w:ind w:left="0" w:right="49"/>
              <w:rPr>
                <w:sz w:val="20"/>
                <w:szCs w:val="20"/>
              </w:rPr>
            </w:pPr>
            <w:r w:rsidRPr="008F3AB1">
              <w:rPr>
                <w:sz w:val="20"/>
                <w:szCs w:val="20"/>
              </w:rPr>
              <w:t>Resguardos indígenas</w:t>
            </w:r>
          </w:p>
        </w:tc>
        <w:tc>
          <w:tcPr>
            <w:tcW w:w="2923" w:type="dxa"/>
          </w:tcPr>
          <w:p w14:paraId="5A60456C" w14:textId="77777777" w:rsidR="00827A41" w:rsidRPr="008F3AB1" w:rsidRDefault="00827A41" w:rsidP="00E24C10">
            <w:pPr>
              <w:pStyle w:val="Prrafodelista"/>
              <w:adjustRightInd w:val="0"/>
              <w:ind w:left="0" w:right="49"/>
              <w:rPr>
                <w:sz w:val="20"/>
                <w:szCs w:val="20"/>
              </w:rPr>
            </w:pPr>
            <w:r w:rsidRPr="008F3AB1">
              <w:rPr>
                <w:sz w:val="20"/>
                <w:szCs w:val="20"/>
              </w:rPr>
              <w:t>Planes de vida</w:t>
            </w:r>
          </w:p>
        </w:tc>
        <w:tc>
          <w:tcPr>
            <w:tcW w:w="2923" w:type="dxa"/>
          </w:tcPr>
          <w:p w14:paraId="3A541FD8" w14:textId="77777777" w:rsidR="00827A41" w:rsidRPr="008F3AB1" w:rsidRDefault="00827A41" w:rsidP="00E24C10">
            <w:pPr>
              <w:pStyle w:val="Prrafodelista"/>
              <w:adjustRightInd w:val="0"/>
              <w:ind w:left="0" w:right="49"/>
              <w:rPr>
                <w:sz w:val="20"/>
                <w:szCs w:val="20"/>
              </w:rPr>
            </w:pPr>
            <w:r w:rsidRPr="008F3AB1">
              <w:rPr>
                <w:sz w:val="20"/>
                <w:szCs w:val="20"/>
              </w:rPr>
              <w:t>Comunidad indígena</w:t>
            </w:r>
          </w:p>
        </w:tc>
      </w:tr>
      <w:tr w:rsidR="00827A41" w:rsidRPr="008F3AB1" w14:paraId="730A2C63" w14:textId="77777777" w:rsidTr="00E24C10">
        <w:tc>
          <w:tcPr>
            <w:tcW w:w="2928" w:type="dxa"/>
          </w:tcPr>
          <w:p w14:paraId="3777E660" w14:textId="77777777" w:rsidR="00827A41" w:rsidRPr="008F3AB1" w:rsidRDefault="00827A41" w:rsidP="00E24C10">
            <w:pPr>
              <w:pStyle w:val="Prrafodelista"/>
              <w:adjustRightInd w:val="0"/>
              <w:ind w:left="0" w:right="49"/>
              <w:rPr>
                <w:sz w:val="20"/>
                <w:szCs w:val="20"/>
              </w:rPr>
            </w:pPr>
            <w:r w:rsidRPr="008F3AB1">
              <w:rPr>
                <w:sz w:val="20"/>
                <w:szCs w:val="20"/>
              </w:rPr>
              <w:t>Zonas de reserva campesina</w:t>
            </w:r>
          </w:p>
        </w:tc>
        <w:tc>
          <w:tcPr>
            <w:tcW w:w="2923" w:type="dxa"/>
          </w:tcPr>
          <w:p w14:paraId="0DCDB596" w14:textId="77777777" w:rsidR="00827A41" w:rsidRPr="008F3AB1" w:rsidRDefault="00827A41" w:rsidP="00E24C10">
            <w:pPr>
              <w:pStyle w:val="Prrafodelista"/>
              <w:adjustRightInd w:val="0"/>
              <w:ind w:left="0" w:right="49"/>
              <w:rPr>
                <w:sz w:val="20"/>
                <w:szCs w:val="20"/>
              </w:rPr>
            </w:pPr>
            <w:r w:rsidRPr="008F3AB1">
              <w:rPr>
                <w:sz w:val="20"/>
                <w:szCs w:val="20"/>
              </w:rPr>
              <w:t>Plan de Desarrollo Sostenible</w:t>
            </w:r>
          </w:p>
        </w:tc>
        <w:tc>
          <w:tcPr>
            <w:tcW w:w="2923" w:type="dxa"/>
          </w:tcPr>
          <w:p w14:paraId="27BC04A0" w14:textId="77777777" w:rsidR="00827A41" w:rsidRPr="008F3AB1" w:rsidRDefault="00827A41" w:rsidP="00E24C10">
            <w:pPr>
              <w:pStyle w:val="Prrafodelista"/>
              <w:adjustRightInd w:val="0"/>
              <w:ind w:left="0" w:right="49"/>
              <w:rPr>
                <w:sz w:val="20"/>
                <w:szCs w:val="20"/>
                <w:lang w:val="es-MX"/>
              </w:rPr>
            </w:pPr>
            <w:r w:rsidRPr="008F3AB1">
              <w:rPr>
                <w:sz w:val="20"/>
                <w:szCs w:val="20"/>
                <w:lang w:val="es-MX"/>
              </w:rPr>
              <w:t>Comunidades y Ministerio de Agricultura y desarrollo rural mediante sus entidades adscritas.</w:t>
            </w:r>
          </w:p>
        </w:tc>
      </w:tr>
      <w:tr w:rsidR="00827A41" w:rsidRPr="008F3AB1" w14:paraId="2664AC58" w14:textId="77777777" w:rsidTr="00E24C10">
        <w:tc>
          <w:tcPr>
            <w:tcW w:w="2928" w:type="dxa"/>
          </w:tcPr>
          <w:p w14:paraId="6855CFFE" w14:textId="77777777" w:rsidR="00827A41" w:rsidRPr="008F3AB1" w:rsidRDefault="00827A41" w:rsidP="00E24C10">
            <w:pPr>
              <w:pStyle w:val="Prrafodelista"/>
              <w:adjustRightInd w:val="0"/>
              <w:ind w:left="0" w:right="49"/>
              <w:rPr>
                <w:sz w:val="20"/>
                <w:szCs w:val="20"/>
              </w:rPr>
            </w:pPr>
            <w:r w:rsidRPr="008F3AB1">
              <w:rPr>
                <w:sz w:val="20"/>
                <w:szCs w:val="20"/>
              </w:rPr>
              <w:t>Paisaje cultural cafetero</w:t>
            </w:r>
          </w:p>
        </w:tc>
        <w:tc>
          <w:tcPr>
            <w:tcW w:w="2923" w:type="dxa"/>
          </w:tcPr>
          <w:p w14:paraId="3F193132" w14:textId="77777777" w:rsidR="00827A41" w:rsidRPr="008F3AB1" w:rsidRDefault="00827A41" w:rsidP="00E24C10">
            <w:pPr>
              <w:pStyle w:val="Prrafodelista"/>
              <w:adjustRightInd w:val="0"/>
              <w:ind w:left="0" w:right="49"/>
              <w:rPr>
                <w:sz w:val="20"/>
                <w:szCs w:val="20"/>
              </w:rPr>
            </w:pPr>
            <w:r w:rsidRPr="008F3AB1">
              <w:rPr>
                <w:sz w:val="20"/>
                <w:szCs w:val="20"/>
              </w:rPr>
              <w:t>Plan de manejo</w:t>
            </w:r>
          </w:p>
        </w:tc>
        <w:tc>
          <w:tcPr>
            <w:tcW w:w="2923" w:type="dxa"/>
          </w:tcPr>
          <w:p w14:paraId="4481108C" w14:textId="77777777" w:rsidR="00827A41" w:rsidRPr="008F3AB1" w:rsidRDefault="00827A41" w:rsidP="00E24C10">
            <w:pPr>
              <w:pStyle w:val="Prrafodelista"/>
              <w:adjustRightInd w:val="0"/>
              <w:ind w:left="0" w:right="49"/>
              <w:rPr>
                <w:sz w:val="20"/>
                <w:szCs w:val="20"/>
                <w:lang w:val="es-MX"/>
              </w:rPr>
            </w:pPr>
            <w:r w:rsidRPr="008F3AB1">
              <w:rPr>
                <w:sz w:val="20"/>
                <w:szCs w:val="20"/>
                <w:lang w:val="es-MX"/>
              </w:rPr>
              <w:t>Ministerio de Cultura y Federación Nacional de Cafeteros.</w:t>
            </w:r>
          </w:p>
        </w:tc>
      </w:tr>
      <w:tr w:rsidR="00827A41" w:rsidRPr="008F3AB1" w14:paraId="52BB7958" w14:textId="77777777" w:rsidTr="00E24C10">
        <w:tc>
          <w:tcPr>
            <w:tcW w:w="2928" w:type="dxa"/>
          </w:tcPr>
          <w:p w14:paraId="7F346B81" w14:textId="77777777" w:rsidR="00827A41" w:rsidRPr="008F3AB1" w:rsidRDefault="00827A41" w:rsidP="00E24C10">
            <w:pPr>
              <w:pStyle w:val="Prrafodelista"/>
              <w:adjustRightInd w:val="0"/>
              <w:ind w:left="0" w:right="49"/>
              <w:rPr>
                <w:sz w:val="20"/>
                <w:szCs w:val="20"/>
              </w:rPr>
            </w:pPr>
            <w:r w:rsidRPr="008F3AB1">
              <w:rPr>
                <w:sz w:val="20"/>
                <w:szCs w:val="20"/>
              </w:rPr>
              <w:t>Áreas arqueológicamente protegidas</w:t>
            </w:r>
          </w:p>
        </w:tc>
        <w:tc>
          <w:tcPr>
            <w:tcW w:w="2923" w:type="dxa"/>
          </w:tcPr>
          <w:p w14:paraId="190D3544" w14:textId="77777777" w:rsidR="00827A41" w:rsidRPr="008F3AB1" w:rsidRDefault="00827A41" w:rsidP="00E24C10">
            <w:pPr>
              <w:pStyle w:val="Prrafodelista"/>
              <w:adjustRightInd w:val="0"/>
              <w:ind w:left="0" w:right="49"/>
              <w:rPr>
                <w:sz w:val="20"/>
                <w:szCs w:val="20"/>
              </w:rPr>
            </w:pPr>
            <w:r w:rsidRPr="008F3AB1">
              <w:rPr>
                <w:sz w:val="20"/>
                <w:szCs w:val="20"/>
              </w:rPr>
              <w:t>Plan de Manejo Arqueológico</w:t>
            </w:r>
          </w:p>
        </w:tc>
        <w:tc>
          <w:tcPr>
            <w:tcW w:w="2923" w:type="dxa"/>
          </w:tcPr>
          <w:p w14:paraId="2AC13FDB" w14:textId="77777777" w:rsidR="00827A41" w:rsidRPr="008F3AB1" w:rsidRDefault="00827A41" w:rsidP="00E24C10">
            <w:pPr>
              <w:pStyle w:val="Prrafodelista"/>
              <w:adjustRightInd w:val="0"/>
              <w:ind w:left="0" w:right="49"/>
              <w:rPr>
                <w:sz w:val="20"/>
                <w:szCs w:val="20"/>
                <w:lang w:val="es-MX"/>
              </w:rPr>
            </w:pPr>
            <w:r w:rsidRPr="008F3AB1">
              <w:rPr>
                <w:sz w:val="20"/>
                <w:szCs w:val="20"/>
                <w:lang w:val="es-MX"/>
              </w:rPr>
              <w:t>Instituto Colombiano de Antropología e Historia – ICANH</w:t>
            </w:r>
          </w:p>
        </w:tc>
      </w:tr>
      <w:tr w:rsidR="00827A41" w:rsidRPr="008F3AB1" w14:paraId="6AF2335B" w14:textId="77777777" w:rsidTr="00E24C10">
        <w:tc>
          <w:tcPr>
            <w:tcW w:w="2928" w:type="dxa"/>
          </w:tcPr>
          <w:p w14:paraId="7D2AF510" w14:textId="77777777" w:rsidR="00827A41" w:rsidRPr="008F3AB1" w:rsidRDefault="00827A41" w:rsidP="00E24C10">
            <w:pPr>
              <w:pStyle w:val="Prrafodelista"/>
              <w:adjustRightInd w:val="0"/>
              <w:ind w:left="0" w:right="49"/>
              <w:rPr>
                <w:sz w:val="20"/>
                <w:szCs w:val="20"/>
              </w:rPr>
            </w:pPr>
            <w:r w:rsidRPr="008F3AB1">
              <w:rPr>
                <w:sz w:val="20"/>
                <w:szCs w:val="20"/>
              </w:rPr>
              <w:t>Bienes de interés cultural</w:t>
            </w:r>
          </w:p>
        </w:tc>
        <w:tc>
          <w:tcPr>
            <w:tcW w:w="2923" w:type="dxa"/>
          </w:tcPr>
          <w:p w14:paraId="74086DAE" w14:textId="77777777" w:rsidR="00827A41" w:rsidRPr="008F3AB1" w:rsidRDefault="00827A41" w:rsidP="00E24C10">
            <w:pPr>
              <w:pStyle w:val="Prrafodelista"/>
              <w:adjustRightInd w:val="0"/>
              <w:ind w:left="0" w:right="49"/>
              <w:rPr>
                <w:sz w:val="20"/>
                <w:szCs w:val="20"/>
                <w:lang w:val="es-MX"/>
              </w:rPr>
            </w:pPr>
            <w:r w:rsidRPr="008F3AB1">
              <w:rPr>
                <w:sz w:val="20"/>
                <w:szCs w:val="20"/>
                <w:lang w:val="es-MX"/>
              </w:rPr>
              <w:t>Plan Especial de Manejo y Protección – PEMP</w:t>
            </w:r>
          </w:p>
        </w:tc>
        <w:tc>
          <w:tcPr>
            <w:tcW w:w="2923" w:type="dxa"/>
          </w:tcPr>
          <w:p w14:paraId="0264AA9E" w14:textId="77777777" w:rsidR="00827A41" w:rsidRPr="008F3AB1" w:rsidRDefault="00827A41" w:rsidP="00E24C10">
            <w:pPr>
              <w:pStyle w:val="Prrafodelista"/>
              <w:adjustRightInd w:val="0"/>
              <w:ind w:left="0" w:right="49"/>
              <w:rPr>
                <w:sz w:val="20"/>
                <w:szCs w:val="20"/>
              </w:rPr>
            </w:pPr>
            <w:r w:rsidRPr="008F3AB1">
              <w:rPr>
                <w:sz w:val="20"/>
                <w:szCs w:val="20"/>
              </w:rPr>
              <w:t>Ministerio de Cultura.</w:t>
            </w:r>
          </w:p>
        </w:tc>
      </w:tr>
    </w:tbl>
    <w:p w14:paraId="68A92098" w14:textId="77777777" w:rsidR="00827A41" w:rsidRPr="008F3AB1" w:rsidRDefault="00827A41" w:rsidP="00827A41">
      <w:pPr>
        <w:pStyle w:val="Prrafodelista"/>
        <w:adjustRightInd w:val="0"/>
        <w:ind w:left="54" w:right="49"/>
      </w:pPr>
    </w:p>
    <w:p w14:paraId="3B5465C6" w14:textId="77777777" w:rsidR="00827A41" w:rsidRPr="008F3AB1" w:rsidRDefault="00827A41" w:rsidP="00827A41">
      <w:pPr>
        <w:rPr>
          <w:rFonts w:cs="Arial"/>
          <w:lang w:eastAsia="es-ES"/>
        </w:rPr>
      </w:pPr>
      <w:r w:rsidRPr="008F3AB1">
        <w:rPr>
          <w:rFonts w:cs="Arial"/>
        </w:rPr>
        <w:t>Se recomienda a las autoridades ambientales territoriales consultar con la oficina responsable a nivel municipal, los lineamientos que permitan prevenir conflictos de uso de suelo por la expansión de la frontera agrícola con respecto a las determinantes ambientales y áreas de importancia ambiental, teniendo en cuenta el contexto donde se desarrolla cada cultivo.</w:t>
      </w:r>
    </w:p>
    <w:p w14:paraId="2FD12EC1" w14:textId="498BF891" w:rsidR="00827A41" w:rsidRPr="008F3AB1" w:rsidRDefault="00827A41" w:rsidP="005306CE">
      <w:pPr>
        <w:pStyle w:val="Ttulo1"/>
        <w:keepNext/>
        <w:keepLines/>
        <w:widowControl/>
        <w:numPr>
          <w:ilvl w:val="1"/>
          <w:numId w:val="43"/>
        </w:numPr>
        <w:autoSpaceDE/>
        <w:autoSpaceDN/>
        <w:spacing w:before="240"/>
        <w:rPr>
          <w:rFonts w:eastAsiaTheme="minorEastAsia"/>
          <w:lang w:val="es-ES_tradnl" w:eastAsia="es-ES"/>
        </w:rPr>
      </w:pPr>
      <w:bookmarkStart w:id="23" w:name="_Toc211877960"/>
      <w:r w:rsidRPr="008F3AB1">
        <w:rPr>
          <w:rFonts w:eastAsiaTheme="minorEastAsia"/>
          <w:lang w:val="es-ES_tradnl" w:eastAsia="es-ES"/>
        </w:rPr>
        <w:t>VERIFICACIÓN DE LAS ZONAS APTAS PARA EL CULTIVO</w:t>
      </w:r>
      <w:bookmarkEnd w:id="23"/>
      <w:r w:rsidRPr="008F3AB1">
        <w:rPr>
          <w:rFonts w:eastAsiaTheme="minorEastAsia"/>
          <w:lang w:val="es-ES_tradnl" w:eastAsia="es-ES"/>
        </w:rPr>
        <w:t xml:space="preserve"> </w:t>
      </w:r>
    </w:p>
    <w:p w14:paraId="06FB6314" w14:textId="77777777" w:rsidR="00827A41" w:rsidRPr="008F3AB1" w:rsidRDefault="00827A41" w:rsidP="00827A41">
      <w:pPr>
        <w:spacing w:line="276" w:lineRule="auto"/>
        <w:rPr>
          <w:rFonts w:cs="Arial"/>
          <w:lang w:val="es-ES_tradnl" w:eastAsia="es-ES"/>
        </w:rPr>
      </w:pPr>
    </w:p>
    <w:p w14:paraId="7514BC3F" w14:textId="77777777" w:rsidR="00827A41" w:rsidRPr="008F3AB1" w:rsidRDefault="00827A41" w:rsidP="005306CE">
      <w:pPr>
        <w:pStyle w:val="Ttulo1"/>
        <w:keepNext/>
        <w:keepLines/>
        <w:widowControl/>
        <w:numPr>
          <w:ilvl w:val="2"/>
          <w:numId w:val="43"/>
        </w:numPr>
        <w:autoSpaceDE/>
        <w:autoSpaceDN/>
        <w:spacing w:before="240"/>
        <w:rPr>
          <w:rFonts w:eastAsiaTheme="minorEastAsia"/>
          <w:lang w:val="es-ES_tradnl" w:eastAsia="es-ES"/>
        </w:rPr>
      </w:pPr>
      <w:bookmarkStart w:id="24" w:name="_Toc211877961"/>
      <w:r w:rsidRPr="008F3AB1">
        <w:rPr>
          <w:rFonts w:eastAsiaTheme="minorEastAsia"/>
          <w:lang w:val="es-ES_tradnl" w:eastAsia="es-ES"/>
        </w:rPr>
        <w:t>Existencia de determinantes ambientales y compatibilidad del cultivo con el régimen de usos del suelo.</w:t>
      </w:r>
      <w:bookmarkEnd w:id="24"/>
    </w:p>
    <w:p w14:paraId="3786AFC1" w14:textId="77777777" w:rsidR="00827A41" w:rsidRPr="008F3AB1" w:rsidRDefault="00827A41" w:rsidP="00827A41">
      <w:pPr>
        <w:pStyle w:val="Sinespaciado"/>
        <w:rPr>
          <w:rFonts w:ascii="Arial" w:hAnsi="Arial" w:cs="Arial"/>
          <w:b/>
          <w:bCs/>
        </w:rPr>
      </w:pPr>
    </w:p>
    <w:p w14:paraId="4511441F" w14:textId="0BFA4200" w:rsidR="00827A41" w:rsidRPr="008F3AB1" w:rsidRDefault="00827A41" w:rsidP="00827A41">
      <w:pPr>
        <w:rPr>
          <w:rFonts w:cs="Arial"/>
          <w:lang w:eastAsia="es-ES"/>
        </w:rPr>
      </w:pPr>
      <w:r w:rsidRPr="008F3AB1">
        <w:rPr>
          <w:rFonts w:cs="Arial"/>
          <w:lang w:eastAsia="es-ES"/>
        </w:rPr>
        <w:t xml:space="preserve">En el marco de los lineamientos dados por la Ley 388 de 1997, respecto a la reglamentación del uso del suelo a través de las diferentes modalidades de Planes de Ordenamiento Territorial, las autoridades ambientales territoriales deberá </w:t>
      </w:r>
      <w:r w:rsidRPr="008F3AB1">
        <w:rPr>
          <w:rFonts w:cs="Arial"/>
        </w:rPr>
        <w:t>requerir de manera previa al inicio de al proyecto, obra o actividad relacionada con el cultivo de aguacate, sujeto a una licencia, permiso o concesión, si es compatible</w:t>
      </w:r>
      <w:r w:rsidRPr="008F3AB1">
        <w:rPr>
          <w:rFonts w:cs="Arial"/>
          <w:lang w:eastAsia="es-ES"/>
        </w:rPr>
        <w:t xml:space="preserve"> con el régimen de usos vigente para el área en la cual se proyecta establecer el cultivo a través del certificado de uso del suelo, expedido por las oficinas de Planeación municipales o quien haga sus veces y las determinantes ambientales expedidas con posterioridad a la entrada en vigencia del respectivo POT. En este sentido, resulta relevante que la </w:t>
      </w:r>
      <w:r w:rsidR="006B7244" w:rsidRPr="008F3AB1">
        <w:rPr>
          <w:rFonts w:cs="Arial"/>
          <w:lang w:eastAsia="es-ES"/>
        </w:rPr>
        <w:t>Autoridad Ambiental Territorial</w:t>
      </w:r>
      <w:r w:rsidRPr="008F3AB1">
        <w:rPr>
          <w:rFonts w:cs="Arial"/>
          <w:lang w:eastAsia="es-ES"/>
        </w:rPr>
        <w:t xml:space="preserve"> verifique si dicha viabilidad estará asociada al uso principal, compatible o complementario, condicionado o restringido, según lo establecido en el instrumento de ordenamiento territorial según sea el caso.</w:t>
      </w:r>
    </w:p>
    <w:p w14:paraId="426F3E44" w14:textId="77777777" w:rsidR="00827A41" w:rsidRPr="008F3AB1" w:rsidRDefault="00827A41" w:rsidP="00827A41">
      <w:pPr>
        <w:rPr>
          <w:rFonts w:cs="Arial"/>
          <w:lang w:eastAsia="es-ES"/>
        </w:rPr>
      </w:pPr>
      <w:r w:rsidRPr="008F3AB1">
        <w:rPr>
          <w:rFonts w:cs="Arial"/>
          <w:lang w:eastAsia="es-ES"/>
        </w:rPr>
        <w:t xml:space="preserve">En aquellos casos en que la actividad se encuentre asociada a un uso condicionado o restringido en el Plan de Ordenamiento Territorial vigente, la autoridad ambiental territorial competente deberá definir las condiciones correspondientes mediante las cuales se puedan </w:t>
      </w:r>
      <w:r w:rsidRPr="008F3AB1">
        <w:rPr>
          <w:rFonts w:cs="Arial"/>
          <w:lang w:eastAsia="es-ES"/>
        </w:rPr>
        <w:lastRenderedPageBreak/>
        <w:t>controlar los impactos ambientales de acuerdo con las condiciones que impongan las normas aplicables para tal fin.</w:t>
      </w:r>
    </w:p>
    <w:p w14:paraId="40B48AD9" w14:textId="77777777" w:rsidR="00827A41" w:rsidRPr="008F3AB1" w:rsidRDefault="00827A41" w:rsidP="00827A41">
      <w:pPr>
        <w:rPr>
          <w:rFonts w:cs="Arial"/>
          <w:lang w:eastAsia="es-ES"/>
        </w:rPr>
      </w:pPr>
      <w:r w:rsidRPr="008F3AB1">
        <w:rPr>
          <w:rFonts w:cs="Arial"/>
          <w:lang w:eastAsia="es-ES"/>
        </w:rPr>
        <w:t>Para el caso de los cultivos ya establecidos, las autoridades ambientales territoriales a partir de la información proporcionada por las entidades territoriales, realizará la verificación de compatibilidad de la actividad en términos del uso del suelo establecido en el Plan de Ordenamiento Territorial vigente y el ordenamiento ambiental territorial. En caso de que no resulte compatible, la autoridad ambiental territorial competente, recomendará su reconversión y/o sustitución; de no hacerlo, dará inicio a los procesos sancionatorios a que haya a lugar.</w:t>
      </w:r>
    </w:p>
    <w:p w14:paraId="693F7FFF" w14:textId="009BC681" w:rsidR="00827A41" w:rsidRPr="008F3AB1" w:rsidRDefault="00827A41" w:rsidP="00827A41">
      <w:pPr>
        <w:rPr>
          <w:rFonts w:cs="Arial"/>
          <w:lang w:eastAsia="es-ES"/>
        </w:rPr>
      </w:pPr>
      <w:r w:rsidRPr="008F3AB1">
        <w:rPr>
          <w:rFonts w:cs="Arial"/>
          <w:lang w:eastAsia="es-ES"/>
        </w:rPr>
        <w:t xml:space="preserve">Así mismo, es necesario que la </w:t>
      </w:r>
      <w:r w:rsidR="00470062" w:rsidRPr="008F3AB1">
        <w:rPr>
          <w:rFonts w:cs="Arial"/>
          <w:lang w:eastAsia="es-ES"/>
        </w:rPr>
        <w:t>Autoridad Ambiental Territorial</w:t>
      </w:r>
      <w:r w:rsidRPr="008F3AB1">
        <w:rPr>
          <w:rFonts w:cs="Arial"/>
          <w:lang w:eastAsia="es-ES"/>
        </w:rPr>
        <w:t xml:space="preserve"> contemple los lineamientos, condicionamientos y restricciones de los Planes de Ordenación y Manejo de Cuencas Hidrográficas – POMCAS, específicamente si se encuentra en la categoría de ordenación de conservación y protección ambiental ,por lo cual se recomienda a la autoridad ambiental verificar las condiciones que llevaron a su  definición y en caso de contar con algún tipo de reglamentación específica (plan de manejo u otro  instrumento de planificación), evaluar la compatibilidad del cultivo con esta condición como fundamento para el otorgamiento de permisos, autorizaciones o concesiones, así como la definición de condiciones o requerimientos propios del ejercicio de la autoridad ambiental. </w:t>
      </w:r>
    </w:p>
    <w:p w14:paraId="441E3952" w14:textId="77777777" w:rsidR="00827A41" w:rsidRPr="008F3AB1" w:rsidRDefault="00827A41" w:rsidP="00827A41">
      <w:pPr>
        <w:rPr>
          <w:rFonts w:cs="Arial"/>
          <w:lang w:val="es-ES_tradnl" w:eastAsia="es-ES"/>
        </w:rPr>
      </w:pPr>
      <w:r w:rsidRPr="008F3AB1">
        <w:rPr>
          <w:rFonts w:cs="Arial"/>
          <w:lang w:val="es-ES_tradnl" w:eastAsia="es-ES"/>
        </w:rPr>
        <w:t xml:space="preserve">Por último, en caso de encontrarse los predios objeto de la producción de aguacate, en áreas del Sistema Nacional de Áreas protegidas – SINAP o en iniciativas de conservación in situ como reservas forestales protectoras – productoras o reservas de la Ley segunda de 1959, la autoridad ambiental deberá verificar si el régimen de usos permite las actividades agropecuarias y qué condiciones se exigen para su desarrollo, según sus instrumentos de planificación (planes de manejo ambiental) o el acto administrativo de su declaratoria. </w:t>
      </w:r>
    </w:p>
    <w:p w14:paraId="5689D6E7" w14:textId="77777777" w:rsidR="00827A41" w:rsidRPr="008F3AB1" w:rsidRDefault="00827A41" w:rsidP="00827A41">
      <w:pPr>
        <w:pStyle w:val="Default"/>
        <w:jc w:val="both"/>
        <w:rPr>
          <w:color w:val="auto"/>
          <w:sz w:val="22"/>
          <w:szCs w:val="22"/>
          <w:lang w:val="es-ES" w:eastAsia="es-ES"/>
        </w:rPr>
      </w:pPr>
      <w:r w:rsidRPr="008F3AB1">
        <w:rPr>
          <w:color w:val="auto"/>
          <w:sz w:val="22"/>
          <w:szCs w:val="22"/>
          <w:lang w:val="es-ES" w:eastAsia="es-ES"/>
        </w:rPr>
        <w:t>Por su parte, la producción de aguacate en reservas forestales de Ley 2ª de 1959, es una actividad agrícola que debe necesariamente atender los lineamientos establecidos en los actos administrativos que definen la zonificación y el ordenamiento de estas áreas de reserva forestal.</w:t>
      </w:r>
    </w:p>
    <w:p w14:paraId="01064D24" w14:textId="77777777" w:rsidR="00827A41" w:rsidRPr="008F3AB1" w:rsidRDefault="00827A41" w:rsidP="00827A41">
      <w:pPr>
        <w:pStyle w:val="Default"/>
        <w:jc w:val="both"/>
        <w:rPr>
          <w:color w:val="auto"/>
          <w:sz w:val="22"/>
          <w:szCs w:val="22"/>
          <w:lang w:val="es-ES" w:eastAsia="es-ES"/>
        </w:rPr>
      </w:pPr>
    </w:p>
    <w:p w14:paraId="69C9FCCC" w14:textId="77777777" w:rsidR="00827A41" w:rsidRPr="008F3AB1" w:rsidRDefault="00827A41" w:rsidP="00827A41">
      <w:pPr>
        <w:pStyle w:val="Default"/>
        <w:jc w:val="both"/>
        <w:rPr>
          <w:color w:val="auto"/>
          <w:sz w:val="22"/>
          <w:szCs w:val="22"/>
          <w:lang w:val="es-ES" w:eastAsia="es-ES"/>
        </w:rPr>
      </w:pPr>
      <w:r w:rsidRPr="008F3AB1">
        <w:rPr>
          <w:color w:val="auto"/>
          <w:sz w:val="22"/>
          <w:szCs w:val="22"/>
          <w:lang w:val="es-ES" w:eastAsia="es-ES"/>
        </w:rPr>
        <w:t>Adicionalmente, el ordenamiento productivo agropecuario y social de la propiedad rural, atiende el proceso de identificación general de la frontera agrícola; donde las actividades agropecuarias en las áreas de reserva forestal de la Ley 2 de 1959 entran de manera condicionada y pueden ser permitidas, compatibles, condicionadas, o prohibidas.</w:t>
      </w:r>
    </w:p>
    <w:p w14:paraId="04F40A16" w14:textId="77777777" w:rsidR="00827A41" w:rsidRPr="008F3AB1" w:rsidRDefault="00827A41" w:rsidP="00827A41">
      <w:pPr>
        <w:pStyle w:val="Default"/>
        <w:jc w:val="both"/>
        <w:rPr>
          <w:color w:val="auto"/>
          <w:sz w:val="22"/>
          <w:szCs w:val="22"/>
          <w:lang w:val="es-ES" w:eastAsia="es-ES"/>
        </w:rPr>
      </w:pPr>
    </w:p>
    <w:p w14:paraId="2133A31E" w14:textId="77777777" w:rsidR="00827A41" w:rsidRPr="008F3AB1" w:rsidRDefault="00827A41" w:rsidP="00827A41">
      <w:pPr>
        <w:pStyle w:val="Default"/>
        <w:jc w:val="both"/>
        <w:rPr>
          <w:color w:val="auto"/>
          <w:sz w:val="22"/>
          <w:szCs w:val="22"/>
          <w:lang w:val="es-ES" w:eastAsia="es-ES"/>
        </w:rPr>
      </w:pPr>
      <w:r w:rsidRPr="008F3AB1">
        <w:rPr>
          <w:color w:val="auto"/>
          <w:sz w:val="22"/>
          <w:szCs w:val="22"/>
          <w:lang w:val="es-ES" w:eastAsia="es-ES"/>
        </w:rPr>
        <w:t>Al respecto Londoño, F.; Guerrero, G.; Flórez, A.; et al. (2021)</w:t>
      </w:r>
      <w:r w:rsidRPr="008F3AB1">
        <w:rPr>
          <w:color w:val="auto"/>
          <w:sz w:val="22"/>
          <w:szCs w:val="22"/>
          <w:vertAlign w:val="superscript"/>
          <w:lang w:val="es-ES" w:eastAsia="es-ES"/>
        </w:rPr>
        <w:footnoteReference w:id="1"/>
      </w:r>
      <w:r w:rsidRPr="008F3AB1">
        <w:rPr>
          <w:color w:val="auto"/>
          <w:sz w:val="22"/>
          <w:szCs w:val="22"/>
          <w:lang w:val="es-ES" w:eastAsia="es-ES"/>
        </w:rPr>
        <w:t>, indica que el enfoque de producción en áreas condicionadas con sus herramientas debe ser aplicados en estas zonas, con el fin de fortalecer las estrategias de sostenibilidad para la protección de los valores ambientales, la provisión de servicios ecosistémicos y en general para mantener el carácter forestal de estas reservas. Dentro de las herramientas se cita: i). Modelos de referencia de producción de bajo impacto; ii). Sistemas agroforestales; iii). Modelos de producción agroecológica; iv). Modelos de economía circular; v). Agricultura limpia, orgánica, ecológica, biológica o sintrópica; vi). Implementación de herramientas de manejo del paisaje; y vii). Producción tradicional y artesanal certificada.</w:t>
      </w:r>
    </w:p>
    <w:p w14:paraId="5505876B" w14:textId="77777777" w:rsidR="00827A41" w:rsidRPr="008F3AB1" w:rsidRDefault="00827A41" w:rsidP="00827A41">
      <w:pPr>
        <w:pStyle w:val="Default"/>
        <w:jc w:val="both"/>
        <w:rPr>
          <w:color w:val="auto"/>
          <w:sz w:val="22"/>
          <w:szCs w:val="22"/>
          <w:lang w:val="es-ES" w:eastAsia="es-ES"/>
        </w:rPr>
      </w:pPr>
    </w:p>
    <w:p w14:paraId="502905B0" w14:textId="77777777" w:rsidR="00827A41" w:rsidRPr="008F3AB1" w:rsidRDefault="00827A41" w:rsidP="00827A41">
      <w:pPr>
        <w:pStyle w:val="Default"/>
        <w:jc w:val="both"/>
        <w:rPr>
          <w:color w:val="auto"/>
          <w:sz w:val="22"/>
          <w:szCs w:val="22"/>
          <w:lang w:val="es-ES" w:eastAsia="es-ES"/>
        </w:rPr>
      </w:pPr>
      <w:r w:rsidRPr="008F3AB1">
        <w:rPr>
          <w:color w:val="auto"/>
          <w:sz w:val="22"/>
          <w:szCs w:val="22"/>
          <w:lang w:val="es-ES" w:eastAsia="es-ES"/>
        </w:rPr>
        <w:t>En este sentido, en las zonas B y C, se pueden desarrollar proyectos relacionados con alianzas productivas, siempre que:</w:t>
      </w:r>
    </w:p>
    <w:p w14:paraId="50CC0767" w14:textId="77777777" w:rsidR="00827A41" w:rsidRPr="008F3AB1" w:rsidRDefault="00827A41" w:rsidP="00827A41">
      <w:pPr>
        <w:pStyle w:val="Default"/>
        <w:jc w:val="both"/>
        <w:rPr>
          <w:color w:val="auto"/>
          <w:sz w:val="22"/>
          <w:szCs w:val="22"/>
          <w:lang w:val="es-ES" w:eastAsia="es-ES"/>
        </w:rPr>
      </w:pPr>
    </w:p>
    <w:p w14:paraId="3E44EBC9" w14:textId="77777777" w:rsidR="00827A41" w:rsidRPr="008F3AB1" w:rsidRDefault="00827A41" w:rsidP="005306CE">
      <w:pPr>
        <w:pStyle w:val="Default"/>
        <w:numPr>
          <w:ilvl w:val="0"/>
          <w:numId w:val="44"/>
        </w:numPr>
        <w:jc w:val="both"/>
        <w:rPr>
          <w:color w:val="auto"/>
          <w:sz w:val="22"/>
          <w:szCs w:val="22"/>
          <w:lang w:val="es-ES" w:eastAsia="es-ES"/>
        </w:rPr>
      </w:pPr>
      <w:r w:rsidRPr="008F3AB1">
        <w:rPr>
          <w:color w:val="auto"/>
          <w:sz w:val="22"/>
          <w:szCs w:val="22"/>
          <w:lang w:val="es-ES" w:eastAsia="es-ES"/>
        </w:rPr>
        <w:t>No impliquen ampliación de la frontera agrícola;</w:t>
      </w:r>
    </w:p>
    <w:p w14:paraId="7516510A" w14:textId="77777777" w:rsidR="00827A41" w:rsidRPr="008F3AB1" w:rsidRDefault="00827A41" w:rsidP="005306CE">
      <w:pPr>
        <w:pStyle w:val="Default"/>
        <w:numPr>
          <w:ilvl w:val="0"/>
          <w:numId w:val="44"/>
        </w:numPr>
        <w:jc w:val="both"/>
        <w:rPr>
          <w:color w:val="auto"/>
          <w:sz w:val="22"/>
          <w:szCs w:val="22"/>
          <w:lang w:val="es-ES" w:eastAsia="es-ES"/>
        </w:rPr>
      </w:pPr>
      <w:r w:rsidRPr="008F3AB1">
        <w:rPr>
          <w:color w:val="auto"/>
          <w:sz w:val="22"/>
          <w:szCs w:val="22"/>
          <w:lang w:val="es-ES" w:eastAsia="es-ES"/>
        </w:rPr>
        <w:t xml:space="preserve">Se evite la reducción de áreas de bosques; </w:t>
      </w:r>
    </w:p>
    <w:p w14:paraId="742FD05C" w14:textId="77777777" w:rsidR="00827A41" w:rsidRPr="008F3AB1" w:rsidRDefault="00827A41" w:rsidP="005306CE">
      <w:pPr>
        <w:pStyle w:val="Default"/>
        <w:numPr>
          <w:ilvl w:val="0"/>
          <w:numId w:val="44"/>
        </w:numPr>
        <w:jc w:val="both"/>
        <w:rPr>
          <w:color w:val="auto"/>
          <w:sz w:val="22"/>
          <w:szCs w:val="22"/>
          <w:lang w:val="es-ES" w:eastAsia="es-ES"/>
        </w:rPr>
      </w:pPr>
      <w:r w:rsidRPr="008F3AB1">
        <w:rPr>
          <w:color w:val="auto"/>
          <w:sz w:val="22"/>
          <w:szCs w:val="22"/>
          <w:lang w:val="es-ES" w:eastAsia="es-ES"/>
        </w:rPr>
        <w:t>Cuente con un componente forestal;</w:t>
      </w:r>
    </w:p>
    <w:p w14:paraId="695950A1" w14:textId="77777777" w:rsidR="00827A41" w:rsidRPr="008F3AB1" w:rsidRDefault="00827A41" w:rsidP="005306CE">
      <w:pPr>
        <w:pStyle w:val="Default"/>
        <w:numPr>
          <w:ilvl w:val="0"/>
          <w:numId w:val="44"/>
        </w:numPr>
        <w:jc w:val="both"/>
        <w:rPr>
          <w:color w:val="auto"/>
          <w:sz w:val="22"/>
          <w:szCs w:val="22"/>
          <w:lang w:val="es-ES" w:eastAsia="es-ES"/>
        </w:rPr>
      </w:pPr>
      <w:r w:rsidRPr="008F3AB1">
        <w:rPr>
          <w:color w:val="auto"/>
          <w:sz w:val="22"/>
          <w:szCs w:val="22"/>
          <w:lang w:val="es-ES" w:eastAsia="es-ES"/>
        </w:rPr>
        <w:t xml:space="preserve">No se afecte el recurso hídrico; y </w:t>
      </w:r>
    </w:p>
    <w:p w14:paraId="22773065" w14:textId="77777777" w:rsidR="00827A41" w:rsidRPr="008F3AB1" w:rsidRDefault="00827A41" w:rsidP="005306CE">
      <w:pPr>
        <w:pStyle w:val="Default"/>
        <w:numPr>
          <w:ilvl w:val="0"/>
          <w:numId w:val="44"/>
        </w:numPr>
        <w:jc w:val="both"/>
        <w:rPr>
          <w:color w:val="auto"/>
          <w:sz w:val="22"/>
          <w:szCs w:val="22"/>
          <w:lang w:val="es-ES" w:eastAsia="es-ES"/>
        </w:rPr>
      </w:pPr>
      <w:r w:rsidRPr="008F3AB1">
        <w:rPr>
          <w:color w:val="auto"/>
          <w:sz w:val="22"/>
          <w:szCs w:val="22"/>
          <w:lang w:val="es-ES" w:eastAsia="es-ES"/>
        </w:rPr>
        <w:t xml:space="preserve">Se ejecuten empleando buenas prácticas agrícolas. </w:t>
      </w:r>
    </w:p>
    <w:p w14:paraId="5188487D" w14:textId="77777777" w:rsidR="00827A41" w:rsidRPr="008F3AB1" w:rsidRDefault="00827A41" w:rsidP="00827A41">
      <w:pPr>
        <w:pStyle w:val="Default"/>
        <w:jc w:val="both"/>
        <w:rPr>
          <w:sz w:val="22"/>
          <w:szCs w:val="22"/>
        </w:rPr>
      </w:pPr>
    </w:p>
    <w:p w14:paraId="7451CD48" w14:textId="77777777" w:rsidR="00827A41" w:rsidRPr="008F3AB1" w:rsidRDefault="00827A41" w:rsidP="00827A41">
      <w:pPr>
        <w:pStyle w:val="Default"/>
        <w:jc w:val="both"/>
        <w:rPr>
          <w:color w:val="auto"/>
          <w:sz w:val="22"/>
          <w:szCs w:val="22"/>
          <w:lang w:val="es-ES" w:eastAsia="es-ES"/>
        </w:rPr>
      </w:pPr>
      <w:r w:rsidRPr="008F3AB1">
        <w:rPr>
          <w:color w:val="auto"/>
          <w:sz w:val="22"/>
          <w:szCs w:val="22"/>
          <w:lang w:val="es-ES" w:eastAsia="es-ES"/>
        </w:rPr>
        <w:t xml:space="preserve">Finalmente, es importante mencionar que, si se requiere un cambio de uso del suelo, remoción de bosque o aprovechamiento forestal único para el desarrollo de cualquier trabajo, obra o actividad (ej. construcción de vías, accesos, bodegas, plantas de procesamiento y demás infraestructura relacionada con temas productivos, entre otros) en áreas de reserva forestal, el interesado deberá tramitar y obtener la sustracción del área ante este ministerio, previo a su intervención. </w:t>
      </w:r>
    </w:p>
    <w:p w14:paraId="013D3640" w14:textId="77777777" w:rsidR="00827A41" w:rsidRPr="008F3AB1" w:rsidRDefault="00827A41" w:rsidP="00827A41">
      <w:pPr>
        <w:pStyle w:val="Default"/>
        <w:jc w:val="both"/>
        <w:rPr>
          <w:color w:val="auto"/>
          <w:sz w:val="22"/>
          <w:szCs w:val="22"/>
          <w:lang w:val="es-ES" w:eastAsia="es-ES"/>
        </w:rPr>
      </w:pPr>
    </w:p>
    <w:p w14:paraId="2456E8BA" w14:textId="77777777" w:rsidR="00827A41" w:rsidRPr="008F3AB1" w:rsidRDefault="00827A41" w:rsidP="00827A41">
      <w:pPr>
        <w:rPr>
          <w:rFonts w:cs="Arial"/>
          <w:lang w:eastAsia="es-ES"/>
        </w:rPr>
      </w:pPr>
      <w:r w:rsidRPr="008F3AB1">
        <w:rPr>
          <w:rFonts w:cs="Arial"/>
          <w:lang w:eastAsia="es-ES"/>
        </w:rPr>
        <w:t xml:space="preserve">Es así, como derivado de las determinantes ambientales emitidas por las autoridades ambientales y del ordenamiento ambiental territorial como normas de superior jerarquía, realizado por las entidades territoriales, es necesario que el interesado verifique que el uso del suelo es viable de acuerdo con las consideraciones contenidas en los mapas de ordenamiento social y productivo emitidos por la Unidad de Planificación Rural Agropecuaria (UPRA). </w:t>
      </w:r>
      <w:r w:rsidRPr="008F3AB1">
        <w:rPr>
          <w:rFonts w:cs="Arial"/>
        </w:rPr>
        <w:t>Esta información también puede ser obtenida del certificado de uso del suelo expedido por la oficina de planeación del municipio o dependencia que haga sus veces, en el cual se planea establecer el cultivo, como se indicó en el apartado de determinantes ambientales</w:t>
      </w:r>
      <w:r w:rsidRPr="008F3AB1">
        <w:rPr>
          <w:rFonts w:cs="Arial"/>
          <w:lang w:eastAsia="es-ES"/>
        </w:rPr>
        <w:t>.</w:t>
      </w:r>
    </w:p>
    <w:p w14:paraId="352AF93F" w14:textId="77777777" w:rsidR="00827A41" w:rsidRPr="008F3AB1" w:rsidRDefault="00827A41" w:rsidP="00827A41">
      <w:pPr>
        <w:rPr>
          <w:rFonts w:cs="Arial"/>
          <w:lang w:eastAsia="es-ES"/>
        </w:rPr>
      </w:pPr>
      <w:r w:rsidRPr="008F3AB1">
        <w:rPr>
          <w:rFonts w:cs="Arial"/>
          <w:lang w:eastAsia="es-ES"/>
        </w:rPr>
        <w:t>Finalmente, la autoridad ambiental debe proporcionar a los interesados en el desarrollo del cultivo las guías de buenas prácticas ambientales y sectoriales, como insumo para las decisiones de tipo ambiental que debe tomar el productor.</w:t>
      </w:r>
    </w:p>
    <w:p w14:paraId="4CA8A46A" w14:textId="77777777" w:rsidR="00827A41" w:rsidRPr="008F3AB1" w:rsidRDefault="00827A41" w:rsidP="005306CE">
      <w:pPr>
        <w:pStyle w:val="Ttulo1"/>
        <w:keepNext/>
        <w:keepLines/>
        <w:widowControl/>
        <w:numPr>
          <w:ilvl w:val="2"/>
          <w:numId w:val="43"/>
        </w:numPr>
        <w:autoSpaceDE/>
        <w:autoSpaceDN/>
        <w:spacing w:before="240"/>
        <w:rPr>
          <w:rFonts w:eastAsiaTheme="minorEastAsia"/>
          <w:lang w:val="es-ES_tradnl" w:eastAsia="es-ES"/>
        </w:rPr>
      </w:pPr>
      <w:bookmarkStart w:id="25" w:name="_Toc211877962"/>
      <w:r w:rsidRPr="008F3AB1">
        <w:rPr>
          <w:rFonts w:eastAsiaTheme="minorEastAsia"/>
          <w:lang w:val="es-ES_tradnl" w:eastAsia="es-ES"/>
        </w:rPr>
        <w:t>Requerimientos de disponibilidad de agua.</w:t>
      </w:r>
      <w:bookmarkEnd w:id="25"/>
    </w:p>
    <w:p w14:paraId="7CB85361" w14:textId="77777777" w:rsidR="00827A41" w:rsidRPr="008F3AB1" w:rsidRDefault="00827A41" w:rsidP="00827A41">
      <w:pPr>
        <w:rPr>
          <w:rFonts w:cs="Arial"/>
          <w:lang w:val="es-ES_tradnl" w:eastAsia="es-ES"/>
        </w:rPr>
      </w:pPr>
    </w:p>
    <w:p w14:paraId="4663A2BB" w14:textId="77777777" w:rsidR="00827A41" w:rsidRPr="008F3AB1" w:rsidRDefault="00827A41" w:rsidP="00827A41">
      <w:pPr>
        <w:rPr>
          <w:rFonts w:cs="Arial"/>
          <w:lang w:eastAsia="es-ES"/>
        </w:rPr>
      </w:pPr>
      <w:r w:rsidRPr="008F3AB1">
        <w:rPr>
          <w:rFonts w:cs="Arial"/>
          <w:lang w:eastAsia="es-ES"/>
        </w:rPr>
        <w:t>Las autoridades ambientales territoriales deben tener presente al momento de otorgar permisos, concesiones o licencias, los requerimientos de agua del cultivo.</w:t>
      </w:r>
    </w:p>
    <w:p w14:paraId="7766A863" w14:textId="77777777" w:rsidR="00827A41" w:rsidRPr="008F3AB1" w:rsidRDefault="00827A41" w:rsidP="00827A41">
      <w:pPr>
        <w:rPr>
          <w:rFonts w:cs="Arial"/>
          <w:lang w:eastAsia="es-ES"/>
        </w:rPr>
      </w:pPr>
      <w:r w:rsidRPr="008F3AB1">
        <w:rPr>
          <w:rFonts w:cs="Arial"/>
          <w:lang w:eastAsia="es-ES"/>
        </w:rPr>
        <w:t>En este sentido, para realizar un uso eficiente del agua, se recomienda que el cultivo se debe ubicar en zonas con precipitación de entre 1.200 a 1.800 mm de lluvia, bien distribuida durante el año, para suplir las necesidades del cultivo y generar una producción óptima, razón por lo cual la autoridad ambiental debe solicitar al interesado, en el marco de los procesos de concesiones de agua, la definición de la huella hídrica del cultivo, mediante indicadores que permitan identificar el volumen consumido y los potenciales vertimientos generados por la actividad, esto con el fin de evitar o disminuir las presiones por la alta demanda de agua de las unidades productivas de aguacate, sobre las fuentes de abastecimiento de agua superficial o subterránea.</w:t>
      </w:r>
    </w:p>
    <w:p w14:paraId="3856D09B" w14:textId="77777777" w:rsidR="00827A41" w:rsidRPr="008F3AB1" w:rsidRDefault="00827A41" w:rsidP="00827A41">
      <w:pPr>
        <w:rPr>
          <w:rFonts w:cs="Arial"/>
          <w:lang w:eastAsia="es-ES"/>
        </w:rPr>
      </w:pPr>
      <w:r w:rsidRPr="008F3AB1">
        <w:rPr>
          <w:rFonts w:cs="Arial"/>
          <w:lang w:eastAsia="es-ES"/>
        </w:rPr>
        <w:t xml:space="preserve">Igualmente, la autoridad ambiental deberá exigir al interesado el establecimiento de los módulos de consumo de agua para esta actividad productiva, de acuerdo con el Programa </w:t>
      </w:r>
      <w:r w:rsidRPr="008F3AB1">
        <w:rPr>
          <w:rFonts w:cs="Arial"/>
          <w:lang w:eastAsia="es-ES"/>
        </w:rPr>
        <w:lastRenderedPageBreak/>
        <w:t>de Uso Eficiente y Ahorro del Agua – PUEAA , contemplado en el Decreto 1090 de 2018, a partir del cual se podrá estimar la cantidad de agua y por tanto la demanda requerida para el cultivo, esta información puede ser utilizada para establecer los volúmenes de agua a concesionar, volúmenes de agua demandados en un área determinada, o por la actividad, y establecer metas de ahorro y uso eficiente del agua.</w:t>
      </w:r>
    </w:p>
    <w:p w14:paraId="758DA0D9" w14:textId="77777777" w:rsidR="00827A41" w:rsidRPr="008F3AB1" w:rsidRDefault="00827A41" w:rsidP="00827A41">
      <w:pPr>
        <w:rPr>
          <w:rFonts w:cs="Arial"/>
          <w:b/>
          <w:bCs/>
          <w:lang w:eastAsia="es-ES"/>
        </w:rPr>
      </w:pPr>
      <w:r w:rsidRPr="008F3AB1">
        <w:rPr>
          <w:rFonts w:cs="Arial"/>
          <w:b/>
          <w:bCs/>
          <w:lang w:eastAsia="es-ES"/>
        </w:rPr>
        <w:t>De igual manera, es fundamental que la autoridad ambiental tenga presente la información disponible asociada al balance hídrico y disponibilidad de agua en el área donde se planea establecer el cultivo, y en caso de requerir concesión de aguas, la autoridad ambiental deberá considerar esta información para garantizar la oferta del recurso hídrico de las fuentes objeto de la concesión previo a su otorgamiento.</w:t>
      </w:r>
    </w:p>
    <w:p w14:paraId="55609D2A" w14:textId="77777777" w:rsidR="00827A41" w:rsidRPr="008F3AB1" w:rsidRDefault="00827A41" w:rsidP="00827A41">
      <w:pPr>
        <w:rPr>
          <w:rFonts w:cs="Arial"/>
          <w:lang w:eastAsia="es-ES"/>
        </w:rPr>
      </w:pPr>
      <w:r w:rsidRPr="008F3AB1">
        <w:rPr>
          <w:rFonts w:cs="Arial"/>
          <w:lang w:eastAsia="es-ES"/>
        </w:rPr>
        <w:t>Adicionalmente, en caso de que se tenga una concesión otorgada, la autoridad ambiental debe verificar y hacer seguimiento para que el interesado cumpla con los volúmenes concesionados y esté implementando las medidas para su ahorro y uso eficiente, junto con las acciones de compensación impuestas por la concesión.</w:t>
      </w:r>
    </w:p>
    <w:p w14:paraId="767A49AB" w14:textId="77777777" w:rsidR="00827A41" w:rsidRPr="008F3AB1" w:rsidRDefault="00827A41" w:rsidP="00827A41">
      <w:pPr>
        <w:rPr>
          <w:rFonts w:cs="Arial"/>
          <w:lang w:eastAsia="es-ES"/>
        </w:rPr>
      </w:pPr>
      <w:r w:rsidRPr="008F3AB1">
        <w:rPr>
          <w:rFonts w:cs="Arial"/>
          <w:lang w:eastAsia="es-ES"/>
        </w:rPr>
        <w:t xml:space="preserve">Así mismo, se recomienda a la autoridad ambiental orientar al interesado en la implementación de buenas prácticas ambientales asociadas al desarrollo del cultivo, para lo cual podrá utilizar como insumo las guías ambientales y sectoriales que expida el Ministerio de Ambiente y Desarrollo Sostenible y que, al momento de establecer el cultivo, verifique que la zona hídrica es la adecuada, </w:t>
      </w:r>
      <w:r w:rsidRPr="008F3AB1">
        <w:rPr>
          <w:rFonts w:cs="Arial"/>
          <w:b/>
          <w:bCs/>
          <w:lang w:eastAsia="es-ES"/>
        </w:rPr>
        <w:t>ya que esta decisión tiene el mayor impacto en la sostenibilidad ambiental y económica para esta actividad productiva</w:t>
      </w:r>
      <w:r w:rsidRPr="008F3AB1">
        <w:rPr>
          <w:rFonts w:cs="Arial"/>
          <w:lang w:eastAsia="es-ES"/>
        </w:rPr>
        <w:t xml:space="preserve">. Por lo cual es recomendable que el interesado utilice los </w:t>
      </w:r>
      <w:r w:rsidRPr="008F3AB1">
        <w:rPr>
          <w:rFonts w:cs="Arial"/>
          <w:u w:val="single"/>
          <w:lang w:eastAsia="es-ES"/>
        </w:rPr>
        <w:t>mapas de déficit hídrico</w:t>
      </w:r>
      <w:r w:rsidRPr="008F3AB1">
        <w:rPr>
          <w:rStyle w:val="Refdenotaalpie"/>
          <w:rFonts w:cs="Arial"/>
          <w:lang w:eastAsia="es-ES"/>
        </w:rPr>
        <w:footnoteReference w:id="2"/>
      </w:r>
      <w:r w:rsidRPr="008F3AB1">
        <w:rPr>
          <w:rFonts w:cs="Arial"/>
          <w:lang w:eastAsia="es-ES"/>
        </w:rPr>
        <w:t xml:space="preserve"> para identificar o promover zonas aguacateras. Los mapas de déficit hídrico se han convertido en una poderosa herramienta para los agricultores colombianos a la hora de programar el riego en meses donde el requerimiento de riego es superior (usualmente mayo a septiembre), según los modelos realizados para su producción.</w:t>
      </w:r>
    </w:p>
    <w:p w14:paraId="4C691729" w14:textId="77777777" w:rsidR="00827A41" w:rsidRPr="008F3AB1" w:rsidRDefault="00827A41" w:rsidP="00827A41">
      <w:pPr>
        <w:rPr>
          <w:rFonts w:cs="Arial"/>
          <w:lang w:val="es-ES_tradnl" w:eastAsia="es-ES"/>
        </w:rPr>
      </w:pPr>
      <w:r w:rsidRPr="008F3AB1">
        <w:rPr>
          <w:rFonts w:cs="Arial"/>
          <w:lang w:val="es-ES_tradnl" w:eastAsia="es-ES"/>
        </w:rPr>
        <w:t xml:space="preserve">De acuerdo con </w:t>
      </w:r>
      <w:sdt>
        <w:sdtPr>
          <w:rPr>
            <w:rFonts w:cs="Arial"/>
            <w:lang w:val="es-ES_tradnl" w:eastAsia="es-ES"/>
          </w:rPr>
          <w:id w:val="87666023"/>
          <w:citation/>
        </w:sdtPr>
        <w:sdtContent>
          <w:r w:rsidRPr="008F3AB1">
            <w:rPr>
              <w:rFonts w:cs="Arial"/>
              <w:lang w:val="es-ES_tradnl" w:eastAsia="es-ES"/>
            </w:rPr>
            <w:fldChar w:fldCharType="begin"/>
          </w:r>
          <w:r w:rsidRPr="008F3AB1">
            <w:rPr>
              <w:rFonts w:cs="Arial"/>
              <w:lang w:val="es-MX" w:eastAsia="es-ES"/>
            </w:rPr>
            <w:instrText xml:space="preserve"> CITATION Era21 \l 2058 </w:instrText>
          </w:r>
          <w:r w:rsidRPr="008F3AB1">
            <w:rPr>
              <w:rFonts w:cs="Arial"/>
              <w:lang w:val="es-ES_tradnl" w:eastAsia="es-ES"/>
            </w:rPr>
            <w:fldChar w:fldCharType="separate"/>
          </w:r>
          <w:r w:rsidRPr="008F3AB1">
            <w:rPr>
              <w:rFonts w:cs="Arial"/>
              <w:noProof/>
              <w:lang w:val="es-MX" w:eastAsia="es-ES"/>
            </w:rPr>
            <w:t>(Erazo, 2021)</w:t>
          </w:r>
          <w:r w:rsidRPr="008F3AB1">
            <w:rPr>
              <w:rFonts w:cs="Arial"/>
              <w:lang w:val="es-ES_tradnl" w:eastAsia="es-ES"/>
            </w:rPr>
            <w:fldChar w:fldCharType="end"/>
          </w:r>
        </w:sdtContent>
      </w:sdt>
      <w:r w:rsidRPr="008F3AB1">
        <w:rPr>
          <w:rFonts w:cs="Arial"/>
          <w:lang w:val="es-ES_tradnl" w:eastAsia="es-ES"/>
        </w:rPr>
        <w:t xml:space="preserve"> , quien generó un análisis de las áreas con potencial para el cultivo de aguacate y sus requerimiento de riego en Colombia (</w:t>
      </w:r>
      <w:r w:rsidRPr="008F3AB1">
        <w:rPr>
          <w:rFonts w:cs="Arial"/>
          <w:lang w:val="es-ES_tradnl" w:eastAsia="es-ES"/>
        </w:rPr>
        <w:fldChar w:fldCharType="begin"/>
      </w:r>
      <w:r w:rsidRPr="008F3AB1">
        <w:rPr>
          <w:rFonts w:cs="Arial"/>
          <w:lang w:val="es-ES_tradnl" w:eastAsia="es-ES"/>
        </w:rPr>
        <w:instrText xml:space="preserve"> REF _Ref190984330 \h  \* MERGEFORMAT </w:instrText>
      </w:r>
      <w:r w:rsidRPr="008F3AB1">
        <w:rPr>
          <w:rFonts w:cs="Arial"/>
          <w:lang w:val="es-ES_tradnl" w:eastAsia="es-ES"/>
        </w:rPr>
      </w:r>
      <w:r w:rsidRPr="008F3AB1">
        <w:rPr>
          <w:rFonts w:cs="Arial"/>
          <w:lang w:val="es-ES_tradnl" w:eastAsia="es-ES"/>
        </w:rPr>
        <w:fldChar w:fldCharType="separate"/>
      </w:r>
      <w:r w:rsidRPr="008F3AB1">
        <w:rPr>
          <w:rFonts w:cs="Arial"/>
        </w:rPr>
        <w:t xml:space="preserve">Figura </w:t>
      </w:r>
      <w:r w:rsidRPr="008F3AB1">
        <w:rPr>
          <w:rFonts w:cs="Arial"/>
          <w:noProof/>
        </w:rPr>
        <w:t>1</w:t>
      </w:r>
      <w:r w:rsidRPr="008F3AB1">
        <w:rPr>
          <w:rFonts w:cs="Arial"/>
          <w:lang w:val="es-ES_tradnl" w:eastAsia="es-ES"/>
        </w:rPr>
        <w:fldChar w:fldCharType="end"/>
      </w:r>
      <w:r w:rsidRPr="008F3AB1">
        <w:rPr>
          <w:rFonts w:cs="Arial"/>
          <w:lang w:val="es-ES_tradnl" w:eastAsia="es-ES"/>
        </w:rPr>
        <w:t xml:space="preserve">), estableció una escala en meses del déficit hídrico que fluctúa de cero (es decir, no requieren riego) hasta once meses, de manera tal que, entre más alto el valor asignado a cada área, es mayor el requerimiento de riego. </w:t>
      </w:r>
    </w:p>
    <w:p w14:paraId="76AA6B6A" w14:textId="77777777" w:rsidR="00827A41" w:rsidRPr="008F3AB1" w:rsidRDefault="00827A41" w:rsidP="00827A41">
      <w:pPr>
        <w:rPr>
          <w:rFonts w:cs="Arial"/>
          <w:lang w:val="es-ES_tradnl" w:eastAsia="es-ES"/>
        </w:rPr>
      </w:pPr>
      <w:r w:rsidRPr="008F3AB1">
        <w:rPr>
          <w:rFonts w:cs="Arial"/>
          <w:lang w:val="es-ES_tradnl" w:eastAsia="es-ES"/>
        </w:rPr>
        <w:t xml:space="preserve">Producto de este estudio, se observó que las áreas en Colombia que no requieren riego totalizan el 0,2% de las </w:t>
      </w:r>
      <w:r w:rsidRPr="008F3AB1">
        <w:rPr>
          <w:rFonts w:cs="Arial"/>
          <w:lang w:eastAsia="es-ES"/>
        </w:rPr>
        <w:t xml:space="preserve">áreas con potencial de producción para aguacate en Colombia </w:t>
      </w:r>
      <w:r w:rsidRPr="008F3AB1">
        <w:rPr>
          <w:rFonts w:cs="Arial"/>
          <w:lang w:val="es-ES_tradnl" w:eastAsia="es-ES"/>
        </w:rPr>
        <w:t>y se distribuyen en el noroeste del país (Departamento de Antioquia) y el sur de Colombia (Departamento de Putumayo).</w:t>
      </w:r>
    </w:p>
    <w:p w14:paraId="02E7B474" w14:textId="77777777" w:rsidR="00827A41" w:rsidRPr="008F3AB1" w:rsidRDefault="00827A41" w:rsidP="00827A41">
      <w:pPr>
        <w:rPr>
          <w:rFonts w:cs="Arial"/>
          <w:lang w:val="es-ES_tradnl" w:eastAsia="es-ES"/>
        </w:rPr>
      </w:pPr>
      <w:r w:rsidRPr="008F3AB1">
        <w:rPr>
          <w:rFonts w:cs="Arial"/>
          <w:lang w:val="es-ES_tradnl" w:eastAsia="es-ES"/>
        </w:rPr>
        <w:t xml:space="preserve">Adicionalmente, el estudio concluyó que las zonas que requieren riego de uno a cuatro meses se encuentran en los departamentos de Antioquia, Caldas, Risaralda, Quindío (eje cafetero), Cauca y Huila. Y finalmente, las zonas que requieren riego en más de cuatro meses se distribuyen principalmente en los Departamentos de Cundinamarca, Boyacá, Santander y Norte de Santander. </w:t>
      </w:r>
    </w:p>
    <w:p w14:paraId="0E026BD5" w14:textId="77777777" w:rsidR="00827A41" w:rsidRPr="008F3AB1" w:rsidRDefault="00827A41" w:rsidP="00827A41">
      <w:pPr>
        <w:rPr>
          <w:rFonts w:cs="Arial"/>
          <w:lang w:val="es-ES_tradnl" w:eastAsia="es-ES"/>
        </w:rPr>
      </w:pPr>
      <w:r w:rsidRPr="008F3AB1">
        <w:rPr>
          <w:rFonts w:cs="Arial"/>
          <w:lang w:val="es-ES_tradnl" w:eastAsia="es-ES"/>
        </w:rPr>
        <w:t xml:space="preserve">Esta información debe ser tenida en cuenta por parte de las autoridades ambientales territoriales en su rol de administradora de los recursos naturales, al momento de otorgar </w:t>
      </w:r>
      <w:r w:rsidRPr="008F3AB1">
        <w:rPr>
          <w:rFonts w:cs="Arial"/>
          <w:lang w:val="es-ES_tradnl" w:eastAsia="es-ES"/>
        </w:rPr>
        <w:lastRenderedPageBreak/>
        <w:t>concesiones de agua para los cultivos de aguacate y al definir módulos de consumo asociados a esta actividad, contrastada con la información a escala local que tenga la entidad, para garantizar un uso racional del recurso hídrico en su jurisdicción.</w:t>
      </w:r>
    </w:p>
    <w:p w14:paraId="0DEF8BDF" w14:textId="77777777" w:rsidR="00827A41" w:rsidRPr="008F3AB1" w:rsidRDefault="00827A41" w:rsidP="005306CE">
      <w:pPr>
        <w:pStyle w:val="Ttulo1"/>
        <w:keepNext/>
        <w:keepLines/>
        <w:widowControl/>
        <w:numPr>
          <w:ilvl w:val="2"/>
          <w:numId w:val="43"/>
        </w:numPr>
        <w:autoSpaceDE/>
        <w:autoSpaceDN/>
        <w:spacing w:before="240"/>
        <w:rPr>
          <w:rFonts w:eastAsiaTheme="minorEastAsia"/>
          <w:lang w:val="es-ES_tradnl" w:eastAsia="es-ES"/>
        </w:rPr>
      </w:pPr>
      <w:bookmarkStart w:id="26" w:name="_Toc211877963"/>
      <w:r w:rsidRPr="008F3AB1">
        <w:rPr>
          <w:rFonts w:eastAsiaTheme="minorEastAsia"/>
          <w:lang w:val="es-ES_tradnl" w:eastAsia="es-ES"/>
        </w:rPr>
        <w:t>Protección de la biodiversidad</w:t>
      </w:r>
      <w:bookmarkEnd w:id="26"/>
    </w:p>
    <w:p w14:paraId="39D5AB0D" w14:textId="77777777" w:rsidR="00827A41" w:rsidRPr="008F3AB1" w:rsidRDefault="00827A41" w:rsidP="00827A41">
      <w:pPr>
        <w:rPr>
          <w:rFonts w:cs="Arial"/>
          <w:lang w:val="es-ES_tradnl" w:eastAsia="es-ES"/>
        </w:rPr>
      </w:pPr>
    </w:p>
    <w:p w14:paraId="550FDEAC" w14:textId="77777777" w:rsidR="00827A41" w:rsidRPr="008F3AB1" w:rsidRDefault="00827A41" w:rsidP="00827A41">
      <w:pPr>
        <w:rPr>
          <w:rFonts w:cs="Arial"/>
          <w:lang w:val="es-ES_tradnl" w:eastAsia="es-ES"/>
        </w:rPr>
      </w:pPr>
      <w:r w:rsidRPr="008F3AB1">
        <w:rPr>
          <w:rFonts w:cs="Arial"/>
          <w:lang w:val="es-ES_tradnl" w:eastAsia="es-ES"/>
        </w:rPr>
        <w:t>Dado que el aguacate se cultiva en zonas con alta concentración de biodiversidad, es necesario que la autoridad ambiental prevea y realice los siguientes requerimientos:</w:t>
      </w:r>
    </w:p>
    <w:p w14:paraId="5CDE5B3A" w14:textId="77777777" w:rsidR="00827A41" w:rsidRPr="008F3AB1" w:rsidRDefault="00827A41" w:rsidP="005306CE">
      <w:pPr>
        <w:pStyle w:val="Prrafodelista"/>
        <w:widowControl/>
        <w:numPr>
          <w:ilvl w:val="1"/>
          <w:numId w:val="47"/>
        </w:numPr>
        <w:autoSpaceDE/>
        <w:autoSpaceDN/>
        <w:spacing w:after="160"/>
        <w:contextualSpacing/>
        <w:rPr>
          <w:lang w:val="es-ES_tradnl" w:eastAsia="es-ES"/>
        </w:rPr>
      </w:pPr>
      <w:r w:rsidRPr="008F3AB1">
        <w:rPr>
          <w:lang w:val="es-ES_tradnl" w:eastAsia="es-ES"/>
        </w:rPr>
        <w:t>En caso de que el cultivo se desarrolle en áreas con vegetación secundaria y por fuera de zonas con algún tipo de determinante ambiental, la autoridad ambiental a partir de información de los Planes de Ordenación Forestal - POF o en estudios disponibles, en el marco de los permisos ambientales puede definir las áreas y el porcentaje de la extensión en los cuales se debe mantener estos relictos de vegetación (que no puede ser inferior al 10% de la extensión del predio), para conservar la biodiversidad y sus servicios ecosistémicos a manera de medida de compensación dentro del trámite ambiental.</w:t>
      </w:r>
    </w:p>
    <w:p w14:paraId="595EABBE" w14:textId="77777777" w:rsidR="00827A41" w:rsidRPr="008F3AB1" w:rsidRDefault="00827A41" w:rsidP="005306CE">
      <w:pPr>
        <w:pStyle w:val="Prrafodelista"/>
        <w:widowControl/>
        <w:numPr>
          <w:ilvl w:val="1"/>
          <w:numId w:val="47"/>
        </w:numPr>
        <w:autoSpaceDE/>
        <w:autoSpaceDN/>
        <w:spacing w:after="160"/>
        <w:contextualSpacing/>
        <w:rPr>
          <w:lang w:val="es-ES_tradnl" w:eastAsia="es-ES"/>
        </w:rPr>
      </w:pPr>
      <w:r w:rsidRPr="008F3AB1">
        <w:rPr>
          <w:lang w:val="es-MX" w:eastAsia="es-ES"/>
        </w:rPr>
        <w:t>En los casos en los que el área objeto de establecimiento del cultivo esté actualmente dominada por pastos o altamente transformada, la autoridad ambiental podrá requerir la implementación de sistemas agroforestales con aguacate a partir de las directrices que genere las autoridades ambientales para cada caso particular, junto con la normativa vigente en la materia, buscando que al menos el 10% del predio cuente con coberturas diferentes al cultivo de aguacate que aporten a la conectividad ecosistémica y al mantenimiento de los servicios ecosistémicos a manera de compensación.</w:t>
      </w:r>
    </w:p>
    <w:p w14:paraId="1FEF728A" w14:textId="77777777" w:rsidR="00827A41" w:rsidRPr="008F3AB1" w:rsidRDefault="00827A41" w:rsidP="00827A41">
      <w:pPr>
        <w:keepNext/>
        <w:jc w:val="center"/>
        <w:rPr>
          <w:rFonts w:cs="Arial"/>
        </w:rPr>
      </w:pPr>
      <w:r w:rsidRPr="008F3AB1">
        <w:rPr>
          <w:rFonts w:cs="Arial"/>
          <w:noProof/>
          <w:lang w:val="en-US"/>
        </w:rPr>
        <w:lastRenderedPageBreak/>
        <w:drawing>
          <wp:inline distT="0" distB="0" distL="0" distR="0" wp14:anchorId="54421EB0" wp14:editId="07A039DB">
            <wp:extent cx="5360276" cy="3960943"/>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22353" name=""/>
                    <pic:cNvPicPr/>
                  </pic:nvPicPr>
                  <pic:blipFill rotWithShape="1">
                    <a:blip r:embed="rId10"/>
                    <a:srcRect l="8486" t="906" r="10726" b="-906"/>
                    <a:stretch/>
                  </pic:blipFill>
                  <pic:spPr bwMode="auto">
                    <a:xfrm>
                      <a:off x="0" y="0"/>
                      <a:ext cx="5379822" cy="3975387"/>
                    </a:xfrm>
                    <a:prstGeom prst="rect">
                      <a:avLst/>
                    </a:prstGeom>
                    <a:ln>
                      <a:noFill/>
                    </a:ln>
                    <a:extLst>
                      <a:ext uri="{53640926-AAD7-44D8-BBD7-CCE9431645EC}">
                        <a14:shadowObscured xmlns:a14="http://schemas.microsoft.com/office/drawing/2010/main"/>
                      </a:ext>
                    </a:extLst>
                  </pic:spPr>
                </pic:pic>
              </a:graphicData>
            </a:graphic>
          </wp:inline>
        </w:drawing>
      </w:r>
    </w:p>
    <w:p w14:paraId="4009DBCB" w14:textId="77777777" w:rsidR="00827A41" w:rsidRPr="008F3AB1" w:rsidRDefault="00827A41" w:rsidP="00827A41">
      <w:pPr>
        <w:pStyle w:val="Descripcin"/>
        <w:rPr>
          <w:rFonts w:cs="Arial"/>
        </w:rPr>
      </w:pPr>
      <w:bookmarkStart w:id="27" w:name="_Ref190984330"/>
      <w:bookmarkStart w:id="28" w:name="_Toc211877982"/>
      <w:r w:rsidRPr="008F3AB1">
        <w:rPr>
          <w:rFonts w:cs="Arial"/>
        </w:rPr>
        <w:t xml:space="preserve">Figura </w:t>
      </w:r>
      <w:r w:rsidRPr="008F3AB1">
        <w:rPr>
          <w:rFonts w:cs="Arial"/>
        </w:rPr>
        <w:fldChar w:fldCharType="begin"/>
      </w:r>
      <w:r w:rsidRPr="008F3AB1">
        <w:rPr>
          <w:rFonts w:cs="Arial"/>
        </w:rPr>
        <w:instrText xml:space="preserve"> SEQ Figura \* ARABIC </w:instrText>
      </w:r>
      <w:r w:rsidRPr="008F3AB1">
        <w:rPr>
          <w:rFonts w:cs="Arial"/>
        </w:rPr>
        <w:fldChar w:fldCharType="separate"/>
      </w:r>
      <w:r w:rsidRPr="008F3AB1">
        <w:rPr>
          <w:rFonts w:cs="Arial"/>
          <w:noProof/>
        </w:rPr>
        <w:t>1</w:t>
      </w:r>
      <w:r w:rsidRPr="008F3AB1">
        <w:rPr>
          <w:rFonts w:cs="Arial"/>
        </w:rPr>
        <w:fldChar w:fldCharType="end"/>
      </w:r>
      <w:bookmarkEnd w:id="27"/>
      <w:r w:rsidRPr="008F3AB1">
        <w:rPr>
          <w:rFonts w:cs="Arial"/>
        </w:rPr>
        <w:t xml:space="preserve">.Mapas de déficit hídrico. Distribución espaciotemporal del déficit hídrico al año en áreas con potencial de producción para aguacate en Colombia) tamaño píxel de 1 km2. (a) Número de meses con déficit de agua. (b) número de períodos en déficit hídrico. Adaptado de </w:t>
      </w:r>
      <w:sdt>
        <w:sdtPr>
          <w:rPr>
            <w:rFonts w:cs="Arial"/>
          </w:rPr>
          <w:id w:val="-1155375918"/>
          <w:citation/>
        </w:sdtPr>
        <w:sdtContent>
          <w:r w:rsidRPr="008F3AB1">
            <w:rPr>
              <w:rFonts w:cs="Arial"/>
            </w:rPr>
            <w:fldChar w:fldCharType="begin"/>
          </w:r>
          <w:r w:rsidRPr="008F3AB1">
            <w:rPr>
              <w:rFonts w:cs="Arial"/>
              <w:lang w:val="es-MX"/>
            </w:rPr>
            <w:instrText xml:space="preserve"> CITATION Era21 \l 2058 </w:instrText>
          </w:r>
          <w:r w:rsidRPr="008F3AB1">
            <w:rPr>
              <w:rFonts w:cs="Arial"/>
            </w:rPr>
            <w:fldChar w:fldCharType="separate"/>
          </w:r>
          <w:r w:rsidRPr="008F3AB1">
            <w:rPr>
              <w:rFonts w:cs="Arial"/>
              <w:noProof/>
              <w:lang w:val="es-MX"/>
            </w:rPr>
            <w:t>(Erazo, 2021)</w:t>
          </w:r>
          <w:r w:rsidRPr="008F3AB1">
            <w:rPr>
              <w:rFonts w:cs="Arial"/>
            </w:rPr>
            <w:fldChar w:fldCharType="end"/>
          </w:r>
        </w:sdtContent>
      </w:sdt>
      <w:bookmarkEnd w:id="28"/>
      <w:r w:rsidRPr="008F3AB1">
        <w:rPr>
          <w:rFonts w:cs="Arial"/>
        </w:rPr>
        <w:t xml:space="preserve"> </w:t>
      </w:r>
    </w:p>
    <w:p w14:paraId="5541D569" w14:textId="77777777" w:rsidR="00827A41" w:rsidRPr="008F3AB1" w:rsidRDefault="00827A41" w:rsidP="00827A41">
      <w:pPr>
        <w:rPr>
          <w:rFonts w:cs="Arial"/>
          <w:lang w:val="es-ES_tradnl" w:eastAsia="es-ES"/>
        </w:rPr>
      </w:pPr>
      <w:r w:rsidRPr="008F3AB1">
        <w:rPr>
          <w:rFonts w:cs="Arial"/>
          <w:lang w:val="es-ES_tradnl" w:eastAsia="es-ES"/>
        </w:rPr>
        <w:t xml:space="preserve">Adicionalmente, la autoridad ambiental puede recomendar al interesado la integración de la apicultura a la producción del predio o a la asociatividad con apicultores de la región, siempre y cuando se asegure que no se utilizan agroquímicos en el cultivo de aguacate, dado que son de impacto para las abejas. Está alternativa apoyaría la conservación de los corredores de conectividad ecológica en la región y la polinización para el cultivo de aguacate (y la calidad del fruto) así como, la demás oferta de flora y fauna regional. </w:t>
      </w:r>
    </w:p>
    <w:p w14:paraId="59A4EEBD" w14:textId="77777777" w:rsidR="00827A41" w:rsidRPr="008F3AB1" w:rsidRDefault="00827A41" w:rsidP="005306CE">
      <w:pPr>
        <w:pStyle w:val="Prrafodelista"/>
        <w:widowControl/>
        <w:numPr>
          <w:ilvl w:val="1"/>
          <w:numId w:val="47"/>
        </w:numPr>
        <w:autoSpaceDE/>
        <w:autoSpaceDN/>
        <w:spacing w:after="160"/>
        <w:contextualSpacing/>
        <w:rPr>
          <w:lang w:val="es-ES_tradnl" w:eastAsia="es-ES"/>
        </w:rPr>
      </w:pPr>
      <w:r w:rsidRPr="008F3AB1">
        <w:rPr>
          <w:lang w:val="es-MX" w:eastAsia="es-ES"/>
        </w:rPr>
        <w:t xml:space="preserve">En caso de que la zona objeto de producción se encuentre en áreas protegidas e iniciativas de conservación </w:t>
      </w:r>
      <w:r w:rsidRPr="008F3AB1">
        <w:rPr>
          <w:i/>
          <w:iCs/>
          <w:lang w:val="es-MX" w:eastAsia="es-ES"/>
        </w:rPr>
        <w:t>in situ</w:t>
      </w:r>
      <w:r w:rsidRPr="008F3AB1">
        <w:rPr>
          <w:lang w:val="es-MX" w:eastAsia="es-ES"/>
        </w:rPr>
        <w:t>, que permitan en el uso la producción agropecuaria, la autoridad ambiental debe verificar la totalidad de las condiciones para el desarrollo de la actividad a fin de prevenir el deterioro de los objetos de conservación de las áreas protegidas e incorporarlas en la producción del aguacate.</w:t>
      </w:r>
    </w:p>
    <w:p w14:paraId="2767C172" w14:textId="77777777" w:rsidR="00827A41" w:rsidRPr="008F3AB1" w:rsidRDefault="00827A41" w:rsidP="00827A41">
      <w:pPr>
        <w:pStyle w:val="Prrafodelista"/>
        <w:ind w:left="360"/>
        <w:rPr>
          <w:lang w:val="es-MX" w:eastAsia="es-ES"/>
        </w:rPr>
      </w:pPr>
    </w:p>
    <w:p w14:paraId="527504C2" w14:textId="6122CDF6" w:rsidR="00827A41" w:rsidRPr="008F3AB1" w:rsidRDefault="00BA06DF" w:rsidP="005306CE">
      <w:pPr>
        <w:pStyle w:val="Ttulo1"/>
        <w:keepNext/>
        <w:keepLines/>
        <w:widowControl/>
        <w:numPr>
          <w:ilvl w:val="1"/>
          <w:numId w:val="43"/>
        </w:numPr>
        <w:autoSpaceDE/>
        <w:autoSpaceDN/>
        <w:spacing w:before="240"/>
        <w:rPr>
          <w:rFonts w:eastAsiaTheme="minorEastAsia"/>
          <w:lang w:val="es-ES_tradnl" w:eastAsia="es-ES"/>
        </w:rPr>
      </w:pPr>
      <w:bookmarkStart w:id="29" w:name="_Toc211877964"/>
      <w:r w:rsidRPr="008F3AB1">
        <w:rPr>
          <w:rFonts w:eastAsiaTheme="minorEastAsia"/>
          <w:lang w:val="es-ES_tradnl" w:eastAsia="es-ES"/>
        </w:rPr>
        <w:t>PERTINENCIA DEL OTORGAMIENTO DE PERMISOS AMBIENTALES.</w:t>
      </w:r>
      <w:bookmarkEnd w:id="29"/>
    </w:p>
    <w:p w14:paraId="6E447837" w14:textId="77777777" w:rsidR="00827A41" w:rsidRPr="008F3AB1" w:rsidRDefault="00827A41" w:rsidP="00827A41">
      <w:pPr>
        <w:pStyle w:val="Prrafodelista"/>
        <w:spacing w:line="276" w:lineRule="auto"/>
        <w:ind w:left="0"/>
        <w:rPr>
          <w:lang w:val="es-ES_tradnl" w:eastAsia="es-ES"/>
        </w:rPr>
      </w:pPr>
    </w:p>
    <w:p w14:paraId="53C4CBD7" w14:textId="77777777" w:rsidR="00827A41" w:rsidRPr="008F3AB1" w:rsidRDefault="00827A41" w:rsidP="00827A41">
      <w:pPr>
        <w:rPr>
          <w:rFonts w:cs="Arial"/>
          <w:lang w:eastAsia="es-ES"/>
        </w:rPr>
      </w:pPr>
      <w:r w:rsidRPr="008F3AB1">
        <w:rPr>
          <w:rFonts w:cs="Arial"/>
          <w:lang w:eastAsia="es-ES"/>
        </w:rPr>
        <w:t>Dado que, para el desarrollo de las actividades de tipo agrícola se requiere del uso sostenible de recursos naturales, es preciso identificar cuáles son necesarios para el funcionamiento del cultivo del aguacate; su uso debe estar amparado en permisos, autorizaciones o concesiones, otorgados por la autoridad ambiental competente.</w:t>
      </w:r>
    </w:p>
    <w:p w14:paraId="3FCCECAB" w14:textId="77777777" w:rsidR="00827A41" w:rsidRPr="008F3AB1" w:rsidRDefault="00827A41" w:rsidP="00827A41">
      <w:pPr>
        <w:pStyle w:val="Prrafodelista"/>
        <w:ind w:left="0"/>
        <w:rPr>
          <w:lang w:val="es-ES_tradnl" w:eastAsia="es-ES"/>
        </w:rPr>
      </w:pPr>
      <w:r w:rsidRPr="008F3AB1">
        <w:rPr>
          <w:lang w:val="es-ES_tradnl" w:eastAsia="es-ES"/>
        </w:rPr>
        <w:lastRenderedPageBreak/>
        <w:t>Adicionalmente, la autoridad ambiental debe tener en cuenta, durante una posible consulta por parte de los interesados, o durante el otorgamiento de permisos ambientales, para el uso de los recursos naturales lo siguiente:</w:t>
      </w:r>
    </w:p>
    <w:p w14:paraId="33A035BD" w14:textId="77777777" w:rsidR="00827A41" w:rsidRPr="008F3AB1" w:rsidRDefault="00827A41" w:rsidP="00827A41">
      <w:pPr>
        <w:pStyle w:val="Prrafodelista"/>
        <w:rPr>
          <w:lang w:val="es-ES_tradnl" w:eastAsia="es-ES"/>
        </w:rPr>
      </w:pPr>
    </w:p>
    <w:p w14:paraId="243A506E" w14:textId="3A630576" w:rsidR="00827A41" w:rsidRPr="008F3AB1" w:rsidRDefault="00827A41" w:rsidP="005306CE">
      <w:pPr>
        <w:pStyle w:val="Prrafodelista"/>
        <w:widowControl/>
        <w:numPr>
          <w:ilvl w:val="3"/>
          <w:numId w:val="46"/>
        </w:numPr>
        <w:autoSpaceDE/>
        <w:autoSpaceDN/>
        <w:spacing w:after="160"/>
        <w:ind w:left="709"/>
        <w:contextualSpacing/>
        <w:rPr>
          <w:lang w:val="es-MX"/>
        </w:rPr>
      </w:pPr>
      <w:r w:rsidRPr="008F3AB1">
        <w:rPr>
          <w:lang w:val="es-MX"/>
        </w:rPr>
        <w:t xml:space="preserve">Los lineamientos establecidos en el numeral </w:t>
      </w:r>
      <w:r w:rsidRPr="008F3AB1">
        <w:fldChar w:fldCharType="begin"/>
      </w:r>
      <w:r w:rsidRPr="008F3AB1">
        <w:rPr>
          <w:lang w:val="es-MX"/>
        </w:rPr>
        <w:instrText xml:space="preserve"> REF _Ref190984636 \w \h  \* MERGEFORMAT </w:instrText>
      </w:r>
      <w:r w:rsidRPr="008F3AB1">
        <w:fldChar w:fldCharType="separate"/>
      </w:r>
      <w:r w:rsidRPr="008F3AB1">
        <w:rPr>
          <w:lang w:val="es-MX"/>
        </w:rPr>
        <w:t>2.4</w:t>
      </w:r>
      <w:r w:rsidRPr="008F3AB1">
        <w:fldChar w:fldCharType="end"/>
      </w:r>
      <w:r w:rsidRPr="008F3AB1">
        <w:rPr>
          <w:lang w:val="es-MX"/>
        </w:rPr>
        <w:t xml:space="preserve"> del presente documento.</w:t>
      </w:r>
    </w:p>
    <w:p w14:paraId="6C2C4B59" w14:textId="77777777" w:rsidR="00827A41" w:rsidRPr="008F3AB1" w:rsidRDefault="00827A41" w:rsidP="00827A41">
      <w:pPr>
        <w:pStyle w:val="Prrafodelista"/>
        <w:rPr>
          <w:lang w:val="es-MX"/>
        </w:rPr>
      </w:pPr>
    </w:p>
    <w:p w14:paraId="7A5388CB" w14:textId="77777777" w:rsidR="00827A41" w:rsidRPr="008F3AB1" w:rsidRDefault="00827A41" w:rsidP="005306CE">
      <w:pPr>
        <w:pStyle w:val="Prrafodelista"/>
        <w:widowControl/>
        <w:numPr>
          <w:ilvl w:val="3"/>
          <w:numId w:val="46"/>
        </w:numPr>
        <w:autoSpaceDE/>
        <w:autoSpaceDN/>
        <w:spacing w:after="160"/>
        <w:ind w:left="709"/>
        <w:contextualSpacing/>
        <w:rPr>
          <w:lang w:val="es-MX"/>
        </w:rPr>
      </w:pPr>
      <w:r w:rsidRPr="008F3AB1">
        <w:rPr>
          <w:lang w:val="es-MX"/>
        </w:rPr>
        <w:t>Verificar la presencia de relictos de bosques nativos que contengan especies de importancia por su endemismo o singularidad, en especial la palma de cera (</w:t>
      </w:r>
      <w:r w:rsidRPr="008F3AB1">
        <w:rPr>
          <w:i/>
          <w:iCs/>
          <w:lang w:val="es-MX"/>
        </w:rPr>
        <w:t>Ceroxylon quindiuense</w:t>
      </w:r>
      <w:r w:rsidRPr="008F3AB1">
        <w:rPr>
          <w:lang w:val="es-MX"/>
        </w:rPr>
        <w:t>) que fue declarado el árbol nacional de Colombia, símbolo patrio y que su tala esta prohibida, según lo definido en la Ley 61 de 1985, cuya distribución se encuentra en los departamentos de Quindío y Tolima.</w:t>
      </w:r>
    </w:p>
    <w:p w14:paraId="71B3D080" w14:textId="77777777" w:rsidR="00827A41" w:rsidRPr="008F3AB1" w:rsidRDefault="00827A41" w:rsidP="00827A41">
      <w:pPr>
        <w:pStyle w:val="Prrafodelista"/>
        <w:rPr>
          <w:lang w:val="es-MX"/>
        </w:rPr>
      </w:pPr>
    </w:p>
    <w:p w14:paraId="1A52A8FA" w14:textId="77777777" w:rsidR="00827A41" w:rsidRPr="008F3AB1" w:rsidRDefault="00827A41" w:rsidP="00827A41">
      <w:pPr>
        <w:pStyle w:val="Prrafodelista"/>
        <w:rPr>
          <w:lang w:val="es-MX"/>
        </w:rPr>
      </w:pPr>
      <w:r w:rsidRPr="008F3AB1">
        <w:rPr>
          <w:lang w:val="es-MX"/>
        </w:rPr>
        <w:t>Teniendo en cuenta lo anterior,  la autoridad ambiental debe garantizar la protección de las áreas con presencia de palma de cera, conservando el bosque asociado a las palmas y en caso de encontrase la palma sobre pastizales o áreas transformadas para actividades agropecuarias, consolidar procesos de restauración ecológica del bosque nativo que permitan el cumplimiento del ciclo de vida de la palma de cera y evitar el establecimiento de aguacate en sus inmediaciones acompañado de control y seguimiento por parte de la autoridad ambiental y promover como ejercicio de corresponsabilidad de los productores de aguacate, el desarrollo de programas para la conservación de la palma de cera y sus ecosistemas asociados.</w:t>
      </w:r>
    </w:p>
    <w:p w14:paraId="702936A4" w14:textId="77777777" w:rsidR="00827A41" w:rsidRPr="008F3AB1" w:rsidRDefault="00827A41" w:rsidP="00827A41">
      <w:pPr>
        <w:pStyle w:val="Prrafodelista"/>
        <w:rPr>
          <w:lang w:val="es-MX"/>
        </w:rPr>
      </w:pPr>
    </w:p>
    <w:p w14:paraId="782217C7" w14:textId="77777777" w:rsidR="00827A41" w:rsidRPr="008F3AB1" w:rsidRDefault="00827A41" w:rsidP="005306CE">
      <w:pPr>
        <w:pStyle w:val="Prrafodelista"/>
        <w:widowControl/>
        <w:numPr>
          <w:ilvl w:val="3"/>
          <w:numId w:val="46"/>
        </w:numPr>
        <w:autoSpaceDE/>
        <w:autoSpaceDN/>
        <w:spacing w:after="160"/>
        <w:ind w:left="709"/>
        <w:contextualSpacing/>
        <w:rPr>
          <w:lang w:val="es-MX"/>
        </w:rPr>
      </w:pPr>
      <w:r w:rsidRPr="008F3AB1">
        <w:rPr>
          <w:lang w:val="es-MX"/>
        </w:rPr>
        <w:t>Que la actividad productiva se desarrolle según el régimen</w:t>
      </w:r>
      <w:r w:rsidRPr="008F3AB1" w:rsidDel="00A11276">
        <w:rPr>
          <w:lang w:val="es-MX"/>
        </w:rPr>
        <w:t xml:space="preserve"> </w:t>
      </w:r>
      <w:r w:rsidRPr="008F3AB1">
        <w:rPr>
          <w:lang w:val="es-MX"/>
        </w:rPr>
        <w:t>de usos establecidos en el Plan de Ordenamiento Territorial - POT vigente.</w:t>
      </w:r>
    </w:p>
    <w:p w14:paraId="4EF72434" w14:textId="77777777" w:rsidR="00827A41" w:rsidRPr="008F3AB1" w:rsidRDefault="00827A41" w:rsidP="00827A41">
      <w:pPr>
        <w:pStyle w:val="Prrafodelista"/>
        <w:ind w:left="709"/>
        <w:rPr>
          <w:lang w:val="es-MX"/>
        </w:rPr>
      </w:pPr>
    </w:p>
    <w:p w14:paraId="7A34C2EB" w14:textId="77777777" w:rsidR="00827A41" w:rsidRPr="008F3AB1" w:rsidRDefault="00827A41" w:rsidP="005306CE">
      <w:pPr>
        <w:pStyle w:val="Prrafodelista"/>
        <w:widowControl/>
        <w:numPr>
          <w:ilvl w:val="3"/>
          <w:numId w:val="46"/>
        </w:numPr>
        <w:autoSpaceDE/>
        <w:autoSpaceDN/>
        <w:spacing w:after="160"/>
        <w:ind w:left="709"/>
        <w:contextualSpacing/>
        <w:rPr>
          <w:lang w:val="es-MX"/>
        </w:rPr>
      </w:pPr>
      <w:r w:rsidRPr="008F3AB1">
        <w:rPr>
          <w:lang w:val="es-MX"/>
        </w:rPr>
        <w:t>La autoridad ambiental debe exigir al productor que cuente con los permisos necesarios para el uso de los recursos naturales en el funcionamiento del cultivo, de conformidad a la normatividad aplicable (concesiones de aguas superficial o subterránea, permisos de vertimientos, permisos de aprovechamiento forestal, sustracciones para la apertura de vías terciarias en los casos de las reservas forestales de la ley 2 de 1959, entre otros).</w:t>
      </w:r>
    </w:p>
    <w:p w14:paraId="55269E04" w14:textId="77777777" w:rsidR="00827A41" w:rsidRPr="008F3AB1" w:rsidRDefault="00827A41" w:rsidP="00827A41">
      <w:pPr>
        <w:pStyle w:val="Prrafodelista"/>
        <w:ind w:left="709"/>
        <w:rPr>
          <w:lang w:val="es-MX"/>
        </w:rPr>
      </w:pPr>
    </w:p>
    <w:p w14:paraId="4588E7FA" w14:textId="77777777" w:rsidR="00827A41" w:rsidRPr="008F3AB1" w:rsidRDefault="00827A41" w:rsidP="005306CE">
      <w:pPr>
        <w:pStyle w:val="Prrafodelista"/>
        <w:widowControl/>
        <w:numPr>
          <w:ilvl w:val="3"/>
          <w:numId w:val="46"/>
        </w:numPr>
        <w:autoSpaceDE/>
        <w:autoSpaceDN/>
        <w:spacing w:after="160"/>
        <w:ind w:left="709"/>
        <w:contextualSpacing/>
        <w:rPr>
          <w:lang w:val="es-MX"/>
        </w:rPr>
      </w:pPr>
      <w:r w:rsidRPr="008F3AB1">
        <w:rPr>
          <w:lang w:val="es-MX"/>
        </w:rPr>
        <w:t xml:space="preserve">Para el caso de solicitud de concesiones de aguas, deben considerar en las áreas con POMCA adoptado: </w:t>
      </w:r>
    </w:p>
    <w:p w14:paraId="30384A92" w14:textId="77777777" w:rsidR="00827A41" w:rsidRPr="008F3AB1" w:rsidRDefault="00827A41" w:rsidP="00827A41">
      <w:pPr>
        <w:pStyle w:val="Prrafodelista"/>
        <w:rPr>
          <w:lang w:val="es-MX"/>
        </w:rPr>
      </w:pPr>
    </w:p>
    <w:p w14:paraId="7A919A54" w14:textId="77777777" w:rsidR="00827A41" w:rsidRPr="008F3AB1" w:rsidRDefault="00827A41" w:rsidP="005306CE">
      <w:pPr>
        <w:pStyle w:val="Prrafodelista"/>
        <w:widowControl/>
        <w:numPr>
          <w:ilvl w:val="7"/>
          <w:numId w:val="52"/>
        </w:numPr>
        <w:autoSpaceDE/>
        <w:autoSpaceDN/>
        <w:spacing w:after="160"/>
        <w:contextualSpacing/>
        <w:rPr>
          <w:lang w:val="es-MX"/>
        </w:rPr>
      </w:pPr>
      <w:r w:rsidRPr="008F3AB1">
        <w:rPr>
          <w:lang w:val="es-MX"/>
        </w:rPr>
        <w:t>Cuáles son los cuerpos hídricos sujetos a declaratoria de agotamiento.</w:t>
      </w:r>
    </w:p>
    <w:p w14:paraId="3EDA79CF" w14:textId="77777777" w:rsidR="00827A41" w:rsidRPr="008F3AB1" w:rsidRDefault="00827A41" w:rsidP="005306CE">
      <w:pPr>
        <w:pStyle w:val="Prrafodelista"/>
        <w:widowControl/>
        <w:numPr>
          <w:ilvl w:val="7"/>
          <w:numId w:val="52"/>
        </w:numPr>
        <w:autoSpaceDE/>
        <w:autoSpaceDN/>
        <w:spacing w:after="160"/>
        <w:contextualSpacing/>
        <w:rPr>
          <w:lang w:val="es-MX"/>
        </w:rPr>
      </w:pPr>
      <w:r w:rsidRPr="008F3AB1">
        <w:rPr>
          <w:lang w:val="es-MX"/>
        </w:rPr>
        <w:t>Las proyecciones de Oferta/Demanda y calidad del agua establecidas en los PORH y en las Reglamentaciones de cuerpos hídricos como sus objetivos de calidad.</w:t>
      </w:r>
    </w:p>
    <w:p w14:paraId="5E7FC640" w14:textId="77777777" w:rsidR="00827A41" w:rsidRPr="008F3AB1" w:rsidRDefault="00827A41" w:rsidP="005306CE">
      <w:pPr>
        <w:pStyle w:val="Prrafodelista"/>
        <w:widowControl/>
        <w:numPr>
          <w:ilvl w:val="7"/>
          <w:numId w:val="52"/>
        </w:numPr>
        <w:autoSpaceDE/>
        <w:autoSpaceDN/>
        <w:spacing w:after="160"/>
        <w:contextualSpacing/>
        <w:rPr>
          <w:lang w:val="es-MX"/>
        </w:rPr>
      </w:pPr>
      <w:r w:rsidRPr="008F3AB1">
        <w:rPr>
          <w:lang w:val="es-MX"/>
        </w:rPr>
        <w:t>Establecer el impacto que dicha solicitud puede tener en el acceso y calidad, aguas abajo para otros habitantes de la microcuenca y de la región.</w:t>
      </w:r>
    </w:p>
    <w:p w14:paraId="66E56D19" w14:textId="77777777" w:rsidR="00827A41" w:rsidRPr="008F3AB1" w:rsidRDefault="00827A41" w:rsidP="005306CE">
      <w:pPr>
        <w:pStyle w:val="Prrafodelista"/>
        <w:widowControl/>
        <w:numPr>
          <w:ilvl w:val="7"/>
          <w:numId w:val="52"/>
        </w:numPr>
        <w:autoSpaceDE/>
        <w:autoSpaceDN/>
        <w:spacing w:after="160"/>
        <w:contextualSpacing/>
        <w:rPr>
          <w:lang w:val="es-MX"/>
        </w:rPr>
      </w:pPr>
      <w:r w:rsidRPr="008F3AB1">
        <w:rPr>
          <w:lang w:val="es-MX"/>
        </w:rPr>
        <w:t xml:space="preserve">Identificar la subzona hidrográfica en la cual se encuentra el predio proyectado para el establecimiento del cultivo y revisar las medidas de uso y manejo sugeridas acorde con la zonificación del POMCA de manera indicativa, haciendo especial énfasis en la categoría de conservación y protección. </w:t>
      </w:r>
    </w:p>
    <w:p w14:paraId="0A974ED9" w14:textId="77777777" w:rsidR="00827A41" w:rsidRPr="008F3AB1" w:rsidRDefault="00827A41" w:rsidP="00827A41">
      <w:pPr>
        <w:pStyle w:val="Prrafodelista"/>
        <w:ind w:left="1069"/>
        <w:rPr>
          <w:lang w:val="es-MX"/>
        </w:rPr>
      </w:pPr>
    </w:p>
    <w:p w14:paraId="69B88A7C" w14:textId="77777777" w:rsidR="00827A41" w:rsidRPr="008F3AB1" w:rsidRDefault="00827A41" w:rsidP="005306CE">
      <w:pPr>
        <w:pStyle w:val="Prrafodelista"/>
        <w:widowControl/>
        <w:numPr>
          <w:ilvl w:val="3"/>
          <w:numId w:val="46"/>
        </w:numPr>
        <w:autoSpaceDE/>
        <w:autoSpaceDN/>
        <w:spacing w:after="160"/>
        <w:contextualSpacing/>
        <w:rPr>
          <w:lang w:val="es-MX"/>
        </w:rPr>
      </w:pPr>
      <w:r w:rsidRPr="008F3AB1">
        <w:rPr>
          <w:lang w:val="es-MX"/>
        </w:rPr>
        <w:lastRenderedPageBreak/>
        <w:t>En los casos en los cuales no se cuente con un POMCA, la autoridad ambiental con base en visita técnica y valoración del estado actual del área objeto del cultivo, puede tomar decisiones que aporten a la conservación del recurso hídrico, considerando la información técnica disponible en relación con lo señalado en el numeral anterior.</w:t>
      </w:r>
    </w:p>
    <w:p w14:paraId="67A5A4F7" w14:textId="77777777" w:rsidR="00827A41" w:rsidRPr="008F3AB1" w:rsidRDefault="00827A41" w:rsidP="00827A41">
      <w:pPr>
        <w:pStyle w:val="Prrafodelista"/>
        <w:ind w:left="709"/>
        <w:rPr>
          <w:lang w:val="es-MX"/>
        </w:rPr>
      </w:pPr>
    </w:p>
    <w:p w14:paraId="58B6837A" w14:textId="77777777" w:rsidR="00827A41" w:rsidRPr="008F3AB1" w:rsidRDefault="00827A41" w:rsidP="005306CE">
      <w:pPr>
        <w:pStyle w:val="Prrafodelista"/>
        <w:widowControl/>
        <w:numPr>
          <w:ilvl w:val="3"/>
          <w:numId w:val="46"/>
        </w:numPr>
        <w:autoSpaceDE/>
        <w:autoSpaceDN/>
        <w:spacing w:after="160"/>
        <w:ind w:left="709"/>
        <w:contextualSpacing/>
        <w:rPr>
          <w:lang w:val="es-MX"/>
        </w:rPr>
      </w:pPr>
      <w:r w:rsidRPr="008F3AB1">
        <w:rPr>
          <w:lang w:val="es-MX"/>
        </w:rPr>
        <w:t>En caso de contar con una concesión de aguas otorgada, es importante que el productor cumpla con el volumen de agua autorizado a ser captado (el requerimiento de agua del cultivo no debe ser superior a la oferta de las fuentes hídricas, garantizando conservar el caudal ambiental de las mismas). En caso de usar diferentes fuentes de agua, cada una debe tener el permiso o concesión del uso de agua otorgado por la autoridad ambiental competente.</w:t>
      </w:r>
    </w:p>
    <w:p w14:paraId="6CDEC0CD" w14:textId="77777777" w:rsidR="00827A41" w:rsidRPr="008F3AB1" w:rsidRDefault="00827A41" w:rsidP="00827A41">
      <w:pPr>
        <w:pStyle w:val="Prrafodelista"/>
        <w:ind w:left="709"/>
        <w:rPr>
          <w:lang w:val="es-MX"/>
        </w:rPr>
      </w:pPr>
    </w:p>
    <w:p w14:paraId="38975E60" w14:textId="77777777" w:rsidR="00827A41" w:rsidRPr="008F3AB1" w:rsidRDefault="00827A41" w:rsidP="005306CE">
      <w:pPr>
        <w:pStyle w:val="Prrafodelista"/>
        <w:widowControl/>
        <w:numPr>
          <w:ilvl w:val="3"/>
          <w:numId w:val="46"/>
        </w:numPr>
        <w:autoSpaceDE/>
        <w:autoSpaceDN/>
        <w:spacing w:after="160"/>
        <w:ind w:left="709"/>
        <w:contextualSpacing/>
        <w:rPr>
          <w:lang w:val="es-MX"/>
        </w:rPr>
      </w:pPr>
      <w:r w:rsidRPr="008F3AB1">
        <w:rPr>
          <w:lang w:val="es-MX"/>
        </w:rPr>
        <w:t xml:space="preserve">Identificar al interior del predio, objeto de desarrollo del cultivo de aguacate, todos los cuerpos de agua (nacimientos, ríos, quebradas, lagos, lagunas, humedales, manantiales,) así como sus lineamientos y medidas de manejo (determinantes ambientales y/o norma general aplicable a cada elemento natural identificado) </w:t>
      </w:r>
    </w:p>
    <w:p w14:paraId="220C63EA" w14:textId="77777777" w:rsidR="00827A41" w:rsidRPr="008F3AB1" w:rsidRDefault="00827A41" w:rsidP="00827A41">
      <w:pPr>
        <w:rPr>
          <w:rFonts w:cs="Arial"/>
          <w:strike/>
        </w:rPr>
      </w:pPr>
      <w:r w:rsidRPr="008F3AB1">
        <w:rPr>
          <w:rFonts w:cs="Arial"/>
          <w:strike/>
        </w:rPr>
        <w:t xml:space="preserve">Una vez realizada esta verificación, la autoridad ambiental elaborará un concepto y en caso de que no se encuentren restricciones o limitaciones para el establecimiento de la actividad, se puede dar continuidad al proceso de planificación y establecimiento del cultivo.  </w:t>
      </w:r>
    </w:p>
    <w:p w14:paraId="5061D615" w14:textId="77777777" w:rsidR="00827A41" w:rsidRPr="008F3AB1" w:rsidRDefault="00827A41" w:rsidP="00827A41">
      <w:pPr>
        <w:rPr>
          <w:rFonts w:cs="Arial"/>
          <w:strike/>
        </w:rPr>
      </w:pPr>
      <w:r w:rsidRPr="008F3AB1">
        <w:rPr>
          <w:rFonts w:cs="Arial"/>
          <w:strike/>
        </w:rPr>
        <w:t>La autoridad ambiental podrá definir los términos de referencia para la elaboración de estudios de mayor detalle por parte del interesado, que permitan evidenciar la disponibilidad del recurso para dicha actividad; estudios que deberán ser avalados por la autoridad ambiental previo al otorgamiento.</w:t>
      </w:r>
    </w:p>
    <w:p w14:paraId="545EC7CF" w14:textId="7B7812FE" w:rsidR="00827A41" w:rsidRPr="008F3AB1" w:rsidRDefault="00827A41" w:rsidP="005306CE">
      <w:pPr>
        <w:pStyle w:val="Ttulo1"/>
        <w:keepNext/>
        <w:keepLines/>
        <w:widowControl/>
        <w:numPr>
          <w:ilvl w:val="1"/>
          <w:numId w:val="43"/>
        </w:numPr>
        <w:autoSpaceDE/>
        <w:autoSpaceDN/>
        <w:spacing w:before="240"/>
        <w:rPr>
          <w:rFonts w:eastAsiaTheme="minorEastAsia"/>
          <w:lang w:val="es-ES_tradnl" w:eastAsia="es-ES"/>
        </w:rPr>
      </w:pPr>
      <w:r w:rsidRPr="008F3AB1">
        <w:rPr>
          <w:rFonts w:eastAsiaTheme="minorEastAsia"/>
          <w:lang w:val="es-ES_tradnl" w:eastAsia="es-ES"/>
        </w:rPr>
        <w:t xml:space="preserve"> </w:t>
      </w:r>
      <w:bookmarkStart w:id="30" w:name="_Toc211877965"/>
      <w:r w:rsidRPr="008F3AB1">
        <w:rPr>
          <w:rFonts w:eastAsiaTheme="minorEastAsia"/>
          <w:lang w:val="es-ES_tradnl" w:eastAsia="es-ES"/>
        </w:rPr>
        <w:t xml:space="preserve">DESARROLLO DE LOS LINEAMIENTOS </w:t>
      </w:r>
      <w:bookmarkEnd w:id="30"/>
      <w:r w:rsidR="00CE2404" w:rsidRPr="008F3AB1">
        <w:rPr>
          <w:rFonts w:eastAsiaTheme="minorEastAsia"/>
          <w:lang w:val="es-ES_tradnl" w:eastAsia="es-ES"/>
        </w:rPr>
        <w:t>PARA LA PRODUCCIÓN SOSTENIBLE EN CULTIVOS DE AGUACATE EN COLOMBIA</w:t>
      </w:r>
    </w:p>
    <w:p w14:paraId="5324246B" w14:textId="77777777" w:rsidR="00827A41" w:rsidRPr="008F3AB1" w:rsidRDefault="00827A41" w:rsidP="00827A41">
      <w:pPr>
        <w:rPr>
          <w:rFonts w:cs="Arial"/>
          <w:lang w:val="es-ES_tradnl" w:eastAsia="es-ES"/>
        </w:rPr>
      </w:pPr>
    </w:p>
    <w:p w14:paraId="2C95FD01" w14:textId="77777777" w:rsidR="00827A41" w:rsidRPr="008F3AB1" w:rsidRDefault="00827A41" w:rsidP="00827A41">
      <w:pPr>
        <w:rPr>
          <w:rFonts w:cs="Arial"/>
          <w:lang w:eastAsia="es-ES"/>
        </w:rPr>
      </w:pPr>
      <w:r w:rsidRPr="008F3AB1">
        <w:rPr>
          <w:rFonts w:cs="Arial"/>
          <w:lang w:eastAsia="es-ES"/>
        </w:rPr>
        <w:t>Las Corporaciones Autónomas Regionales y de Desarrollo Sostenible se constituyen en autoridades ambientales y en el marco de las competencias otorgadas en el artículo 31 de la ley 99 de 1993, le otorga un rol fundamental en la implementación de estrategias para el desarrollo sostenible en sus territorios, al igual que el papel de control y vigilancia del uso de los recursos naturales renovables.</w:t>
      </w:r>
    </w:p>
    <w:p w14:paraId="1117EAEE" w14:textId="77777777" w:rsidR="00827A41" w:rsidRPr="008F3AB1" w:rsidRDefault="00827A41" w:rsidP="00827A41">
      <w:pPr>
        <w:rPr>
          <w:rFonts w:cs="Arial"/>
          <w:lang w:eastAsia="es-ES"/>
        </w:rPr>
      </w:pPr>
      <w:r w:rsidRPr="008F3AB1">
        <w:rPr>
          <w:rFonts w:cs="Arial"/>
          <w:lang w:eastAsia="es-ES"/>
        </w:rPr>
        <w:t xml:space="preserve">Estos lineamientos se constituyen en una herramienta para las autoridades ambientales territoriales </w:t>
      </w:r>
      <w:r w:rsidRPr="008F3AB1">
        <w:rPr>
          <w:rFonts w:cs="Arial"/>
          <w:color w:val="202020"/>
        </w:rPr>
        <w:t xml:space="preserve">como instrumentos de consulta y referentes conceptuales y metodológicos en la gestión ambiental de los cultivos presentes en sus jurisdicciones </w:t>
      </w:r>
      <w:r w:rsidRPr="008F3AB1">
        <w:rPr>
          <w:rFonts w:cs="Arial"/>
          <w:strike/>
          <w:lang w:eastAsia="es-ES"/>
        </w:rPr>
        <w:t>para el fortalecimiento de su misionalidad en territorio</w:t>
      </w:r>
      <w:r w:rsidRPr="008F3AB1">
        <w:rPr>
          <w:rFonts w:cs="Arial"/>
          <w:lang w:eastAsia="es-ES"/>
        </w:rPr>
        <w:t xml:space="preserve">  y </w:t>
      </w:r>
      <w:r w:rsidRPr="008F3AB1">
        <w:rPr>
          <w:rFonts w:cs="Arial"/>
        </w:rPr>
        <w:t>promover prácticas de producción sostenible del aguacate en todas sus variedades, contribuyendo a la reducción de los impactos ambientales sobre la biodiversidad y los recursos hídricos.</w:t>
      </w:r>
    </w:p>
    <w:p w14:paraId="5D9C5E96" w14:textId="77777777" w:rsidR="00827A41" w:rsidRPr="008F3AB1" w:rsidRDefault="00827A41" w:rsidP="00827A41">
      <w:pPr>
        <w:rPr>
          <w:rFonts w:eastAsia="Roboto" w:cs="Arial"/>
          <w:color w:val="111111"/>
          <w:sz w:val="24"/>
          <w:szCs w:val="24"/>
        </w:rPr>
      </w:pPr>
      <w:r w:rsidRPr="008F3AB1">
        <w:rPr>
          <w:rFonts w:cs="Arial"/>
          <w:lang w:eastAsia="es-ES"/>
        </w:rPr>
        <w:t xml:space="preserve">Es importante entender que </w:t>
      </w:r>
      <w:r w:rsidRPr="008F3AB1">
        <w:rPr>
          <w:rFonts w:cs="Arial"/>
          <w:b/>
          <w:bCs/>
          <w:u w:val="single"/>
          <w:lang w:eastAsia="es-ES"/>
        </w:rPr>
        <w:t>la calidad del aguacate está estrechamente asociada a su origen y la sostenibilidad</w:t>
      </w:r>
      <w:r w:rsidRPr="008F3AB1">
        <w:rPr>
          <w:rStyle w:val="Refdenotaalpie"/>
          <w:rFonts w:cs="Arial"/>
          <w:lang w:eastAsia="es-ES"/>
        </w:rPr>
        <w:footnoteReference w:id="3"/>
      </w:r>
      <w:r w:rsidRPr="008F3AB1">
        <w:rPr>
          <w:rFonts w:cs="Arial"/>
          <w:lang w:eastAsia="es-ES"/>
        </w:rPr>
        <w:t xml:space="preserve">. </w:t>
      </w:r>
      <w:r w:rsidRPr="008F3AB1">
        <w:rPr>
          <w:rFonts w:eastAsia="Roboto" w:cs="Arial"/>
          <w:color w:val="111111"/>
        </w:rPr>
        <w:t xml:space="preserve"> Esto implica que en las zonas de producción no se dé el fenómeno de la deforestación, se cumplan los estándares nacionales e internacionales en </w:t>
      </w:r>
      <w:r w:rsidRPr="008F3AB1">
        <w:rPr>
          <w:rFonts w:eastAsia="Roboto" w:cs="Arial"/>
          <w:color w:val="111111"/>
        </w:rPr>
        <w:lastRenderedPageBreak/>
        <w:t>materia social y de derechos humanos, y se lleve a cabo una producción respetuosa con el ecosistema intervenido, garantizando al mismo tiempo un fruto inocuo para el consumidor.</w:t>
      </w:r>
    </w:p>
    <w:p w14:paraId="52E58E30" w14:textId="5585F68C" w:rsidR="00827A41" w:rsidRPr="008F3AB1" w:rsidRDefault="00827A41" w:rsidP="00827A41">
      <w:pPr>
        <w:rPr>
          <w:rFonts w:cs="Arial"/>
          <w:lang w:eastAsia="es-ES"/>
        </w:rPr>
      </w:pPr>
      <w:r w:rsidRPr="008F3AB1">
        <w:rPr>
          <w:rFonts w:cs="Arial"/>
          <w:lang w:eastAsia="es-ES"/>
        </w:rPr>
        <w:t>Para el establecimiento del cultivo de aguacate, se deben tener en cue</w:t>
      </w:r>
      <w:r w:rsidR="001B6D98" w:rsidRPr="008F3AB1">
        <w:rPr>
          <w:rFonts w:cs="Arial"/>
          <w:lang w:eastAsia="es-ES"/>
        </w:rPr>
        <w:t>nta los siguientes lineamientos.</w:t>
      </w:r>
    </w:p>
    <w:p w14:paraId="4B8C9E47" w14:textId="77777777" w:rsidR="00827A41" w:rsidRPr="008F3AB1" w:rsidRDefault="00827A41" w:rsidP="005306CE">
      <w:pPr>
        <w:pStyle w:val="Ttulo1"/>
        <w:keepNext/>
        <w:keepLines/>
        <w:widowControl/>
        <w:numPr>
          <w:ilvl w:val="2"/>
          <w:numId w:val="43"/>
        </w:numPr>
        <w:autoSpaceDE/>
        <w:autoSpaceDN/>
        <w:spacing w:before="240"/>
        <w:rPr>
          <w:rFonts w:eastAsiaTheme="minorEastAsia"/>
          <w:lang w:val="es-MX" w:eastAsia="es-ES"/>
        </w:rPr>
      </w:pPr>
      <w:bookmarkStart w:id="31" w:name="_Toc104385039"/>
      <w:bookmarkStart w:id="32" w:name="_Toc211877966"/>
      <w:r w:rsidRPr="008F3AB1">
        <w:rPr>
          <w:rFonts w:eastAsiaTheme="minorEastAsia"/>
          <w:lang w:val="es-MX" w:eastAsia="es-ES"/>
        </w:rPr>
        <w:t>Lineamientos previos al establecimiento del cultivo.</w:t>
      </w:r>
      <w:bookmarkEnd w:id="31"/>
      <w:bookmarkEnd w:id="32"/>
    </w:p>
    <w:p w14:paraId="6CA0F7A3" w14:textId="77777777" w:rsidR="00827A41" w:rsidRPr="008F3AB1" w:rsidRDefault="00827A41" w:rsidP="00827A41">
      <w:pPr>
        <w:pStyle w:val="Prrafodelista"/>
        <w:ind w:left="360"/>
        <w:rPr>
          <w:lang w:val="es-ES_tradnl" w:eastAsia="es-ES"/>
        </w:rPr>
      </w:pPr>
    </w:p>
    <w:p w14:paraId="76490CFE" w14:textId="03D5487A" w:rsidR="00827A41" w:rsidRPr="008F3AB1" w:rsidRDefault="00827A41" w:rsidP="00827A41">
      <w:pPr>
        <w:pStyle w:val="Prrafodelista"/>
        <w:ind w:left="0"/>
        <w:rPr>
          <w:lang w:val="es-ES_tradnl" w:eastAsia="es-ES"/>
        </w:rPr>
      </w:pPr>
      <w:r w:rsidRPr="008F3AB1">
        <w:rPr>
          <w:lang w:val="es-ES_tradnl" w:eastAsia="es-ES"/>
        </w:rPr>
        <w:t xml:space="preserve">De acuerdo con lo citado en el numeral </w:t>
      </w:r>
      <w:r w:rsidRPr="008F3AB1">
        <w:rPr>
          <w:lang w:val="es-ES_tradnl" w:eastAsia="es-ES"/>
        </w:rPr>
        <w:fldChar w:fldCharType="begin"/>
      </w:r>
      <w:r w:rsidRPr="008F3AB1">
        <w:rPr>
          <w:lang w:val="es-ES_tradnl" w:eastAsia="es-ES"/>
        </w:rPr>
        <w:instrText xml:space="preserve"> REF _Ref190984827 \w \h  \* MERGEFORMAT </w:instrText>
      </w:r>
      <w:r w:rsidRPr="008F3AB1">
        <w:rPr>
          <w:lang w:val="es-ES_tradnl" w:eastAsia="es-ES"/>
        </w:rPr>
      </w:r>
      <w:r w:rsidRPr="008F3AB1">
        <w:rPr>
          <w:lang w:val="es-ES_tradnl" w:eastAsia="es-ES"/>
        </w:rPr>
        <w:fldChar w:fldCharType="separate"/>
      </w:r>
      <w:r w:rsidRPr="008F3AB1">
        <w:rPr>
          <w:lang w:val="es-ES_tradnl" w:eastAsia="es-ES"/>
        </w:rPr>
        <w:t>2.4</w:t>
      </w:r>
      <w:r w:rsidRPr="008F3AB1">
        <w:rPr>
          <w:lang w:val="es-ES_tradnl" w:eastAsia="es-ES"/>
        </w:rPr>
        <w:fldChar w:fldCharType="end"/>
      </w:r>
      <w:r w:rsidRPr="008F3AB1">
        <w:rPr>
          <w:lang w:val="es-ES_tradnl" w:eastAsia="es-ES"/>
        </w:rPr>
        <w:t xml:space="preserve"> de este documento a continuación, se precisan las exclusiones y restricciones para el establecimiento de áreas de cultivo de aguacate las cuales deben ser tenidas en cuenta en los procesos de otorgamiento de permisos ambientales para el uso de los recursos naturales</w:t>
      </w:r>
      <w:r w:rsidRPr="008F3AB1">
        <w:rPr>
          <w:lang w:val="es-MX"/>
        </w:rPr>
        <w:t xml:space="preserve">: </w:t>
      </w:r>
    </w:p>
    <w:p w14:paraId="6B8451F3" w14:textId="77777777" w:rsidR="00827A41" w:rsidRPr="008F3AB1" w:rsidRDefault="00827A41" w:rsidP="005306CE">
      <w:pPr>
        <w:pStyle w:val="Ttulo1"/>
        <w:keepNext/>
        <w:keepLines/>
        <w:widowControl/>
        <w:numPr>
          <w:ilvl w:val="3"/>
          <w:numId w:val="43"/>
        </w:numPr>
        <w:autoSpaceDE/>
        <w:autoSpaceDN/>
        <w:spacing w:before="240"/>
        <w:rPr>
          <w:rFonts w:eastAsiaTheme="minorEastAsia"/>
          <w:lang w:val="es-ES_tradnl" w:eastAsia="es-ES"/>
        </w:rPr>
      </w:pPr>
      <w:bookmarkStart w:id="33" w:name="_Toc170568605"/>
      <w:bookmarkStart w:id="34" w:name="_Toc170568606"/>
      <w:bookmarkStart w:id="35" w:name="_Toc170568607"/>
      <w:bookmarkStart w:id="36" w:name="_Toc170568608"/>
      <w:bookmarkStart w:id="37" w:name="_Toc170568609"/>
      <w:bookmarkStart w:id="38" w:name="_Toc170568610"/>
      <w:bookmarkStart w:id="39" w:name="_Toc170568611"/>
      <w:bookmarkStart w:id="40" w:name="_Toc170568612"/>
      <w:bookmarkStart w:id="41" w:name="_Toc170568613"/>
      <w:bookmarkStart w:id="42" w:name="_Toc170568614"/>
      <w:bookmarkStart w:id="43" w:name="_Toc170568615"/>
      <w:bookmarkStart w:id="44" w:name="_Toc170568616"/>
      <w:bookmarkStart w:id="45" w:name="_Toc170568617"/>
      <w:bookmarkStart w:id="46" w:name="_Toc170568618"/>
      <w:bookmarkStart w:id="47" w:name="_Toc170568619"/>
      <w:bookmarkStart w:id="48" w:name="_Toc170568620"/>
      <w:bookmarkStart w:id="49" w:name="_Toc170568621"/>
      <w:bookmarkStart w:id="50" w:name="_Toc170568622"/>
      <w:bookmarkStart w:id="51" w:name="_Toc170568623"/>
      <w:bookmarkStart w:id="52" w:name="_Toc170568624"/>
      <w:bookmarkStart w:id="53" w:name="_Toc170568625"/>
      <w:bookmarkStart w:id="54" w:name="_Toc170568626"/>
      <w:bookmarkStart w:id="55" w:name="_Toc170568627"/>
      <w:bookmarkStart w:id="56" w:name="_Toc170568628"/>
      <w:bookmarkStart w:id="57" w:name="_Toc170568629"/>
      <w:bookmarkStart w:id="58" w:name="_Toc170568630"/>
      <w:bookmarkStart w:id="59" w:name="_Toc170568631"/>
      <w:bookmarkStart w:id="60" w:name="_Toc170568632"/>
      <w:bookmarkStart w:id="61" w:name="_Toc170568633"/>
      <w:bookmarkStart w:id="62" w:name="_Toc170568634"/>
      <w:bookmarkStart w:id="63" w:name="_Toc170568635"/>
      <w:bookmarkStart w:id="64" w:name="_Toc170568636"/>
      <w:bookmarkStart w:id="65" w:name="_Toc170568637"/>
      <w:bookmarkStart w:id="66" w:name="_Toc170568638"/>
      <w:bookmarkStart w:id="67" w:name="_Toc170568639"/>
      <w:bookmarkStart w:id="68" w:name="_Toc211877967"/>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rsidRPr="008F3AB1">
        <w:rPr>
          <w:rFonts w:eastAsiaTheme="minorEastAsia"/>
          <w:lang w:val="es-ES_tradnl" w:eastAsia="es-ES"/>
        </w:rPr>
        <w:t>Áreas de exclusión y condicionantes</w:t>
      </w:r>
      <w:bookmarkEnd w:id="68"/>
      <w:r w:rsidRPr="008F3AB1">
        <w:rPr>
          <w:rFonts w:eastAsiaTheme="minorEastAsia"/>
          <w:lang w:val="es-ES_tradnl" w:eastAsia="es-ES"/>
        </w:rPr>
        <w:t xml:space="preserve"> </w:t>
      </w:r>
    </w:p>
    <w:p w14:paraId="4E48C3D9" w14:textId="77777777" w:rsidR="00827A41" w:rsidRPr="008F3AB1" w:rsidRDefault="00827A41" w:rsidP="00827A41">
      <w:pPr>
        <w:autoSpaceDE w:val="0"/>
        <w:autoSpaceDN w:val="0"/>
        <w:adjustRightInd w:val="0"/>
        <w:spacing w:after="0"/>
        <w:ind w:left="708" w:right="49"/>
        <w:rPr>
          <w:rFonts w:eastAsia="Humanist777BT-LightB" w:cs="Arial"/>
        </w:rPr>
      </w:pPr>
    </w:p>
    <w:p w14:paraId="588E3D50" w14:textId="77777777" w:rsidR="00827A41" w:rsidRPr="008F3AB1" w:rsidRDefault="00827A41" w:rsidP="00827A41">
      <w:pPr>
        <w:autoSpaceDE w:val="0"/>
        <w:autoSpaceDN w:val="0"/>
        <w:adjustRightInd w:val="0"/>
        <w:spacing w:after="0"/>
        <w:ind w:right="49"/>
        <w:rPr>
          <w:rFonts w:eastAsia="Humanist777BT-LightB" w:cs="Arial"/>
        </w:rPr>
      </w:pPr>
      <w:r w:rsidRPr="008F3AB1">
        <w:rPr>
          <w:rFonts w:eastAsia="Humanist777BT-LightB" w:cs="Arial"/>
        </w:rPr>
        <w:t>Corresponden a las directrices o reglas que orientan o excluyen un uso determinado del territorio rural. El carácter excluyente se refiere a aquellas áreas sobre las cuales está prohibida la realización de proyectos productivos, mientras que los condicionantes legales se refieren a impedimentos directamente relacionados con la normatividad que limita el uso del suelo por interés ambiental, cultural y social.</w:t>
      </w:r>
    </w:p>
    <w:p w14:paraId="63D30BF7" w14:textId="77777777" w:rsidR="00827A41" w:rsidRPr="008F3AB1" w:rsidRDefault="00827A41" w:rsidP="005306CE">
      <w:pPr>
        <w:pStyle w:val="Ttulo1"/>
        <w:keepNext/>
        <w:keepLines/>
        <w:widowControl/>
        <w:numPr>
          <w:ilvl w:val="0"/>
          <w:numId w:val="53"/>
        </w:numPr>
        <w:autoSpaceDE/>
        <w:autoSpaceDN/>
        <w:spacing w:before="240"/>
        <w:rPr>
          <w:rFonts w:eastAsiaTheme="minorEastAsia"/>
          <w:lang w:val="es-ES_tradnl" w:eastAsia="es-ES"/>
        </w:rPr>
      </w:pPr>
      <w:bookmarkStart w:id="69" w:name="_Toc211877968"/>
      <w:r w:rsidRPr="008F3AB1">
        <w:rPr>
          <w:rFonts w:eastAsiaTheme="minorEastAsia"/>
          <w:lang w:val="es-ES_tradnl" w:eastAsia="es-ES"/>
        </w:rPr>
        <w:t xml:space="preserve">Áreas de exclusión. </w:t>
      </w:r>
      <w:bookmarkEnd w:id="69"/>
    </w:p>
    <w:p w14:paraId="327EDDC5" w14:textId="77777777" w:rsidR="00827A41" w:rsidRPr="008F3AB1" w:rsidRDefault="00827A41" w:rsidP="00827A41">
      <w:pPr>
        <w:autoSpaceDE w:val="0"/>
        <w:autoSpaceDN w:val="0"/>
        <w:adjustRightInd w:val="0"/>
        <w:spacing w:after="0"/>
        <w:ind w:left="708" w:right="49"/>
        <w:rPr>
          <w:rFonts w:eastAsia="Humanist777BT-LightB" w:cs="Arial"/>
        </w:rPr>
      </w:pPr>
    </w:p>
    <w:p w14:paraId="480E9CA4" w14:textId="77777777" w:rsidR="00827A41" w:rsidRPr="008F3AB1" w:rsidRDefault="00827A41" w:rsidP="00827A41">
      <w:pPr>
        <w:autoSpaceDE w:val="0"/>
        <w:autoSpaceDN w:val="0"/>
        <w:adjustRightInd w:val="0"/>
        <w:spacing w:after="0"/>
        <w:ind w:right="49"/>
        <w:rPr>
          <w:rFonts w:eastAsia="Humanist777BT-LightB" w:cs="Arial"/>
        </w:rPr>
      </w:pPr>
      <w:r w:rsidRPr="008F3AB1">
        <w:rPr>
          <w:rFonts w:eastAsia="Humanist777BT-LightB" w:cs="Arial"/>
        </w:rPr>
        <w:t>Estos corresponden a los territorios en los cuales las actividades agropecuarias no son compatibles con su régimen de usos, derivados de decisiones de ordenamiento territorial o conservación de la biodiversidad. Los criterios de exclusión son los siguientes:</w:t>
      </w:r>
    </w:p>
    <w:p w14:paraId="739C23C1" w14:textId="77777777" w:rsidR="00827A41" w:rsidRPr="008F3AB1" w:rsidRDefault="00827A41" w:rsidP="00827A41">
      <w:pPr>
        <w:autoSpaceDE w:val="0"/>
        <w:autoSpaceDN w:val="0"/>
        <w:adjustRightInd w:val="0"/>
        <w:spacing w:after="0"/>
        <w:ind w:left="54" w:right="49"/>
        <w:rPr>
          <w:rFonts w:eastAsia="Humanist777BT-LightB" w:cs="Arial"/>
          <w:b/>
          <w:bCs/>
        </w:rPr>
      </w:pPr>
    </w:p>
    <w:p w14:paraId="48149DB2" w14:textId="77777777" w:rsidR="00827A41" w:rsidRPr="008F3AB1" w:rsidRDefault="00827A41" w:rsidP="005306CE">
      <w:pPr>
        <w:pStyle w:val="Prrafodelista"/>
        <w:widowControl/>
        <w:numPr>
          <w:ilvl w:val="0"/>
          <w:numId w:val="35"/>
        </w:numPr>
        <w:adjustRightInd w:val="0"/>
        <w:ind w:right="49"/>
        <w:contextualSpacing/>
        <w:rPr>
          <w:rFonts w:eastAsia="Humanist777BT-LightB"/>
          <w:lang w:val="es-MX"/>
        </w:rPr>
      </w:pPr>
      <w:r w:rsidRPr="008F3AB1">
        <w:rPr>
          <w:b/>
          <w:lang w:val="es-MX"/>
        </w:rPr>
        <w:t>Áreas protegidas:</w:t>
      </w:r>
      <w:r w:rsidRPr="008F3AB1">
        <w:rPr>
          <w:lang w:val="es-MX"/>
        </w:rPr>
        <w:t xml:space="preserve"> De acuerdo con el Decreto 1076 de 2015 (</w:t>
      </w:r>
      <w:r w:rsidRPr="008F3AB1">
        <w:rPr>
          <w:rStyle w:val="Textoennegrita"/>
          <w:b w:val="0"/>
          <w:lang w:val="es-MX"/>
        </w:rPr>
        <w:t>artículo 2.2.2.1.15.1 y Artículo 2.2.2.1.2.3</w:t>
      </w:r>
      <w:r w:rsidRPr="008F3AB1">
        <w:rPr>
          <w:lang w:val="es-MX"/>
        </w:rPr>
        <w:t>) las categorías en las cuales no se pueden desarrollar actividades agropecuarias son los Parques Naturales Nacionales, Parques Naturales Regionales y las Reservas Forestales Protectoras.</w:t>
      </w:r>
    </w:p>
    <w:p w14:paraId="59F295CC" w14:textId="77777777" w:rsidR="00827A41" w:rsidRPr="008F3AB1" w:rsidRDefault="00827A41" w:rsidP="00827A41">
      <w:pPr>
        <w:pStyle w:val="Prrafodelista"/>
        <w:ind w:left="851"/>
        <w:rPr>
          <w:rFonts w:eastAsia="Humanist777BT-LightB"/>
          <w:lang w:val="es-MX"/>
        </w:rPr>
      </w:pPr>
    </w:p>
    <w:p w14:paraId="4A698EAC" w14:textId="77777777" w:rsidR="00827A41" w:rsidRPr="008F3AB1" w:rsidRDefault="00827A41" w:rsidP="005306CE">
      <w:pPr>
        <w:pStyle w:val="Prrafodelista"/>
        <w:widowControl/>
        <w:numPr>
          <w:ilvl w:val="0"/>
          <w:numId w:val="35"/>
        </w:numPr>
        <w:adjustRightInd w:val="0"/>
        <w:ind w:left="851" w:right="49" w:firstLine="0"/>
        <w:contextualSpacing/>
        <w:rPr>
          <w:rFonts w:eastAsia="Humanist777BT-LightB"/>
          <w:lang w:val="es-MX"/>
        </w:rPr>
      </w:pPr>
      <w:r w:rsidRPr="008F3AB1">
        <w:rPr>
          <w:rFonts w:eastAsia="Humanist777BT-LightB"/>
          <w:b/>
          <w:bCs/>
          <w:lang w:val="es-MX"/>
        </w:rPr>
        <w:t xml:space="preserve">Áreas urbanas: </w:t>
      </w:r>
      <w:r w:rsidRPr="008F3AB1">
        <w:rPr>
          <w:rFonts w:eastAsia="Humanist777BT-LightB"/>
          <w:lang w:val="es-MX"/>
        </w:rPr>
        <w:t>Según la Ley 388 de 1997, el suelo urbano corresponde a las áreas del territorio distrital o municipal destinadas a usos urbanos por el plan de ordenamiento municipal o distrital, según corresponda, que cuenten con infraestructura vial y redes primarias de energía, acueducto y alcantarillado, posibilitándose su urbanización y edificación, según sea el caso. De lo anterior se concluye que el establecimiento de cultivos de aguacate no es compatible con estas categorías de suelo, enfoque diferente a los árboles integrados a procesos de agricultura urbana que aportan al aumento de la conectividad en los entornos urbanos.</w:t>
      </w:r>
    </w:p>
    <w:p w14:paraId="4E9334F9" w14:textId="77777777" w:rsidR="00827A41" w:rsidRPr="008F3AB1" w:rsidRDefault="00827A41" w:rsidP="00827A41">
      <w:pPr>
        <w:autoSpaceDE w:val="0"/>
        <w:autoSpaceDN w:val="0"/>
        <w:adjustRightInd w:val="0"/>
        <w:spacing w:after="0" w:line="276" w:lineRule="auto"/>
        <w:ind w:left="1416" w:right="49"/>
        <w:rPr>
          <w:rFonts w:eastAsia="Humanist777BT-LightB" w:cs="Arial"/>
        </w:rPr>
      </w:pPr>
    </w:p>
    <w:p w14:paraId="00642228" w14:textId="77777777" w:rsidR="00827A41" w:rsidRPr="008F3AB1" w:rsidRDefault="00827A41" w:rsidP="005306CE">
      <w:pPr>
        <w:pStyle w:val="Prrafodelista"/>
        <w:widowControl/>
        <w:numPr>
          <w:ilvl w:val="0"/>
          <w:numId w:val="35"/>
        </w:numPr>
        <w:adjustRightInd w:val="0"/>
        <w:ind w:left="851" w:right="49" w:firstLine="0"/>
        <w:contextualSpacing/>
        <w:rPr>
          <w:rFonts w:eastAsia="Humanist777BT-LightB"/>
          <w:lang w:val="es-MX"/>
        </w:rPr>
      </w:pPr>
      <w:r w:rsidRPr="008F3AB1">
        <w:rPr>
          <w:rFonts w:eastAsia="Humanist777BT-LightB"/>
          <w:b/>
          <w:bCs/>
          <w:lang w:val="es-MX"/>
        </w:rPr>
        <w:t>Áreas de protección cultural y social (parques arqueológicos):</w:t>
      </w:r>
      <w:r w:rsidRPr="008F3AB1">
        <w:rPr>
          <w:rFonts w:eastAsia="Humanist777BT-LightB"/>
          <w:lang w:val="es-MX"/>
        </w:rPr>
        <w:t xml:space="preserve"> están a cargo del Instituto Colombiano de Antropología e Historia (ICANH) y se crean como espacios de conservación, divulgación e investigación en torno al patrimonio arqueológico y cultural de la nación y como patrimonio de la humanidad, por lo cual deben ser salvaguardados, protegidos y conservados por el Estado. </w:t>
      </w:r>
    </w:p>
    <w:p w14:paraId="1C7F0903" w14:textId="77777777" w:rsidR="00827A41" w:rsidRPr="008F3AB1" w:rsidRDefault="00827A41" w:rsidP="005306CE">
      <w:pPr>
        <w:pStyle w:val="Ttulo1"/>
        <w:keepNext/>
        <w:keepLines/>
        <w:widowControl/>
        <w:numPr>
          <w:ilvl w:val="0"/>
          <w:numId w:val="53"/>
        </w:numPr>
        <w:autoSpaceDE/>
        <w:autoSpaceDN/>
        <w:spacing w:before="240"/>
        <w:rPr>
          <w:rFonts w:eastAsiaTheme="minorEastAsia"/>
          <w:lang w:val="es-ES_tradnl" w:eastAsia="es-ES"/>
        </w:rPr>
      </w:pPr>
      <w:bookmarkStart w:id="70" w:name="_Toc211877969"/>
      <w:r w:rsidRPr="008F3AB1">
        <w:rPr>
          <w:rFonts w:eastAsiaTheme="minorEastAsia"/>
          <w:lang w:val="es-ES_tradnl" w:eastAsia="es-ES"/>
        </w:rPr>
        <w:lastRenderedPageBreak/>
        <w:t xml:space="preserve">Áreas con condicionantes </w:t>
      </w:r>
      <w:bookmarkEnd w:id="70"/>
    </w:p>
    <w:p w14:paraId="50897F92" w14:textId="77777777" w:rsidR="00827A41" w:rsidRPr="008F3AB1" w:rsidRDefault="00827A41" w:rsidP="00827A41">
      <w:pPr>
        <w:autoSpaceDE w:val="0"/>
        <w:autoSpaceDN w:val="0"/>
        <w:adjustRightInd w:val="0"/>
        <w:spacing w:after="0"/>
        <w:ind w:left="54" w:right="49"/>
        <w:rPr>
          <w:rFonts w:eastAsia="Humanist777BT-LightB" w:cs="Arial"/>
          <w:b/>
          <w:bCs/>
        </w:rPr>
      </w:pPr>
    </w:p>
    <w:p w14:paraId="45EFF734" w14:textId="77777777" w:rsidR="00827A41" w:rsidRPr="008F3AB1" w:rsidRDefault="00827A41" w:rsidP="00827A41">
      <w:pPr>
        <w:autoSpaceDE w:val="0"/>
        <w:autoSpaceDN w:val="0"/>
        <w:adjustRightInd w:val="0"/>
        <w:spacing w:after="0"/>
        <w:ind w:right="49"/>
        <w:rPr>
          <w:rFonts w:eastAsia="Humanist777BT-LightB" w:cs="Arial"/>
        </w:rPr>
      </w:pPr>
      <w:r w:rsidRPr="008F3AB1">
        <w:rPr>
          <w:rFonts w:eastAsia="Humanist777BT-LightB" w:cs="Arial"/>
        </w:rPr>
        <w:t>Corresponden a territorios en los cuales las actividades agropecuarias potencialmente pueden ser desarrolladas, acogiendo las condiciones para su ejecución, según sus instrumentos de planificación. Estas condicionantes son las siguientes:</w:t>
      </w:r>
    </w:p>
    <w:p w14:paraId="21EB66B3" w14:textId="77777777" w:rsidR="00827A41" w:rsidRPr="008F3AB1" w:rsidRDefault="00827A41" w:rsidP="00827A41">
      <w:pPr>
        <w:autoSpaceDE w:val="0"/>
        <w:autoSpaceDN w:val="0"/>
        <w:adjustRightInd w:val="0"/>
        <w:spacing w:after="0" w:line="276" w:lineRule="auto"/>
        <w:ind w:left="54" w:right="49"/>
        <w:rPr>
          <w:rFonts w:eastAsia="Humanist777BT-LightB" w:cs="Arial"/>
        </w:rPr>
      </w:pPr>
    </w:p>
    <w:p w14:paraId="5ECFAE94" w14:textId="77777777" w:rsidR="00827A41" w:rsidRPr="008F3AB1" w:rsidRDefault="00827A41" w:rsidP="005306CE">
      <w:pPr>
        <w:pStyle w:val="Prrafodelista"/>
        <w:widowControl/>
        <w:numPr>
          <w:ilvl w:val="0"/>
          <w:numId w:val="48"/>
        </w:numPr>
        <w:adjustRightInd w:val="0"/>
        <w:ind w:left="851" w:right="49" w:firstLine="0"/>
        <w:contextualSpacing/>
        <w:rPr>
          <w:lang w:val="es-MX"/>
        </w:rPr>
      </w:pPr>
      <w:r w:rsidRPr="008F3AB1">
        <w:rPr>
          <w:b/>
          <w:lang w:val="es-MX"/>
        </w:rPr>
        <w:t>Ecosistemas estratégicos y áreas de especial importancia ecosistémica:</w:t>
      </w:r>
      <w:r w:rsidRPr="008F3AB1">
        <w:rPr>
          <w:lang w:val="es-MX"/>
        </w:rPr>
        <w:t xml:space="preserve"> Incluye los ecosistemas descritos en el artículo </w:t>
      </w:r>
      <w:r w:rsidRPr="008F3AB1">
        <w:rPr>
          <w:color w:val="000000"/>
          <w:lang w:val="es-MX"/>
        </w:rPr>
        <w:t>2.2.2.1.3.8</w:t>
      </w:r>
      <w:r w:rsidRPr="008F3AB1">
        <w:rPr>
          <w:lang w:val="es-MX"/>
        </w:rPr>
        <w:t xml:space="preserve"> del Decreto 1076 de 2015 y </w:t>
      </w:r>
      <w:r w:rsidRPr="008F3AB1">
        <w:rPr>
          <w:color w:val="000000"/>
          <w:lang w:val="es-MX"/>
        </w:rPr>
        <w:t>2.2.2.2.1.3</w:t>
      </w:r>
      <w:r w:rsidRPr="008F3AB1">
        <w:rPr>
          <w:lang w:val="es-MX"/>
        </w:rPr>
        <w:t xml:space="preserve"> del Decreto 1077 de 2015, dentro de los cuales se incluyen los ecosistemas de páramos, humedales, manglares y bosque seco.</w:t>
      </w:r>
    </w:p>
    <w:p w14:paraId="60693D87" w14:textId="77777777" w:rsidR="00827A41" w:rsidRPr="008F3AB1" w:rsidRDefault="00827A41" w:rsidP="00827A41">
      <w:pPr>
        <w:pStyle w:val="Prrafodelista"/>
        <w:adjustRightInd w:val="0"/>
        <w:ind w:left="851" w:right="49"/>
        <w:rPr>
          <w:lang w:val="es-MX"/>
        </w:rPr>
      </w:pPr>
    </w:p>
    <w:p w14:paraId="406A551C" w14:textId="77777777" w:rsidR="00827A41" w:rsidRPr="008F3AB1" w:rsidRDefault="00827A41" w:rsidP="00827A41">
      <w:pPr>
        <w:pStyle w:val="Prrafodelista"/>
        <w:adjustRightInd w:val="0"/>
        <w:ind w:left="851" w:right="49"/>
        <w:rPr>
          <w:lang w:val="es-MX"/>
        </w:rPr>
      </w:pPr>
      <w:r w:rsidRPr="008F3AB1">
        <w:rPr>
          <w:lang w:val="es-MX"/>
        </w:rPr>
        <w:t>En el caso de los ecosistemas de páramos, la ley 1930 de 2018 indica la restricción para el aumento de la frontera agropecuaria y la prohibición de eliminar coberturas naturales y las actividades agropecuarias en su interior deben ser de bajo impacto y gestionados con las comunidades locales.</w:t>
      </w:r>
    </w:p>
    <w:p w14:paraId="4A4FF0AF" w14:textId="77777777" w:rsidR="00827A41" w:rsidRPr="008F3AB1" w:rsidRDefault="00827A41" w:rsidP="00827A41">
      <w:pPr>
        <w:pStyle w:val="Prrafodelista"/>
        <w:adjustRightInd w:val="0"/>
        <w:ind w:left="851" w:right="49"/>
        <w:rPr>
          <w:lang w:val="es-MX"/>
        </w:rPr>
      </w:pPr>
    </w:p>
    <w:p w14:paraId="77D1376C" w14:textId="77777777" w:rsidR="00827A41" w:rsidRPr="008F3AB1" w:rsidRDefault="00827A41" w:rsidP="00827A41">
      <w:pPr>
        <w:pStyle w:val="Prrafodelista"/>
        <w:adjustRightInd w:val="0"/>
        <w:ind w:left="851" w:right="49"/>
        <w:rPr>
          <w:lang w:val="es-MX"/>
        </w:rPr>
      </w:pPr>
      <w:r w:rsidRPr="008F3AB1">
        <w:rPr>
          <w:lang w:val="es-MX"/>
        </w:rPr>
        <w:t>En el caso de los humedales, la ley 357 de 1997, la ley 1450 de 2011 y la ley 2478 de 2025, indican que los humedales deben ser objeto de conservación y potencialmente pueden contar con actividades agropecuarias, en concordancia con sus instrumentos de planificación, para lo cual debe cumplir con las condiciones establecidas por la autoridad ambiental competente.</w:t>
      </w:r>
    </w:p>
    <w:p w14:paraId="30481FE0" w14:textId="77777777" w:rsidR="00827A41" w:rsidRPr="008F3AB1" w:rsidRDefault="00827A41" w:rsidP="00827A41">
      <w:pPr>
        <w:pStyle w:val="Prrafodelista"/>
        <w:adjustRightInd w:val="0"/>
        <w:ind w:left="851" w:right="49"/>
        <w:rPr>
          <w:lang w:val="es-MX"/>
        </w:rPr>
      </w:pPr>
    </w:p>
    <w:p w14:paraId="59FB8EBE" w14:textId="77777777" w:rsidR="00827A41" w:rsidRPr="008F3AB1" w:rsidRDefault="00827A41" w:rsidP="00827A41">
      <w:pPr>
        <w:pStyle w:val="Prrafodelista"/>
        <w:adjustRightInd w:val="0"/>
        <w:ind w:left="851" w:right="49" w:firstLine="0"/>
        <w:rPr>
          <w:lang w:val="es-MX"/>
        </w:rPr>
      </w:pPr>
      <w:r w:rsidRPr="008F3AB1">
        <w:rPr>
          <w:lang w:val="es-MX"/>
        </w:rPr>
        <w:t>Los lineamientos y medidas de manejo dadas para la producción agropecuaria en estos ecosistemas estratégicos derivan de la normativa vigente y de los instrumentos de planificación y objetivos de conservación y protección. En todo caso, cuando en un ecosistema estratégico sea permitido el desarrollo de actividades agropecuarias, estas no podrán afectar, talar o aprovechar coberturas vegetales nativas.</w:t>
      </w:r>
    </w:p>
    <w:p w14:paraId="229FFBF9" w14:textId="77777777" w:rsidR="00827A41" w:rsidRPr="008F3AB1" w:rsidRDefault="00827A41" w:rsidP="00827A41">
      <w:pPr>
        <w:autoSpaceDE w:val="0"/>
        <w:autoSpaceDN w:val="0"/>
        <w:adjustRightInd w:val="0"/>
        <w:spacing w:after="0"/>
        <w:ind w:left="851" w:right="49"/>
        <w:rPr>
          <w:rFonts w:cs="Arial"/>
        </w:rPr>
      </w:pPr>
    </w:p>
    <w:p w14:paraId="6E9236FA" w14:textId="77777777" w:rsidR="00827A41" w:rsidRPr="008F3AB1" w:rsidRDefault="00827A41" w:rsidP="005306CE">
      <w:pPr>
        <w:pStyle w:val="Prrafodelista"/>
        <w:widowControl/>
        <w:numPr>
          <w:ilvl w:val="0"/>
          <w:numId w:val="48"/>
        </w:numPr>
        <w:adjustRightInd w:val="0"/>
        <w:ind w:left="851" w:right="49" w:firstLine="0"/>
        <w:contextualSpacing/>
        <w:rPr>
          <w:lang w:val="es-MX"/>
        </w:rPr>
      </w:pPr>
      <w:r w:rsidRPr="008F3AB1">
        <w:rPr>
          <w:b/>
          <w:lang w:val="es-MX"/>
        </w:rPr>
        <w:t>Áreas protegidas:</w:t>
      </w:r>
      <w:r w:rsidRPr="008F3AB1">
        <w:rPr>
          <w:lang w:val="es-MX"/>
        </w:rPr>
        <w:t xml:space="preserve"> De acuerdo con el Decreto 1076 de 2015, las categorías de Distritos de Manejo Integrado (DMI), Distritos de conservación de suelos (DCS), Áreas de recreación, Reservas naturales de la sociedad civil, hacen parte del Sistema Nacional de Áreas Protegidas y potencialmente pueden contener áreas con usos agropecuarios, cuyas condicionantes y áreas en las cuales pueden desarrollarse al interior, dependen de los planes de manejo ambiental formulados y adoptados por parte de la autoridad competente o de los objetivos de la declaratoria de estas áreas.</w:t>
      </w:r>
    </w:p>
    <w:p w14:paraId="7A540582" w14:textId="77777777" w:rsidR="00827A41" w:rsidRPr="008F3AB1" w:rsidRDefault="00827A41" w:rsidP="00827A41">
      <w:pPr>
        <w:autoSpaceDE w:val="0"/>
        <w:autoSpaceDN w:val="0"/>
        <w:adjustRightInd w:val="0"/>
        <w:spacing w:after="0"/>
        <w:ind w:left="851" w:right="49"/>
        <w:rPr>
          <w:rFonts w:cs="Arial"/>
        </w:rPr>
      </w:pPr>
    </w:p>
    <w:p w14:paraId="046453A0" w14:textId="77777777" w:rsidR="00827A41" w:rsidRPr="008F3AB1" w:rsidRDefault="00827A41" w:rsidP="005306CE">
      <w:pPr>
        <w:pStyle w:val="Prrafodelista"/>
        <w:widowControl/>
        <w:numPr>
          <w:ilvl w:val="0"/>
          <w:numId w:val="48"/>
        </w:numPr>
        <w:adjustRightInd w:val="0"/>
        <w:ind w:left="851" w:right="49" w:firstLine="0"/>
        <w:contextualSpacing/>
        <w:rPr>
          <w:lang w:val="es-MX"/>
        </w:rPr>
      </w:pPr>
      <w:r w:rsidRPr="008F3AB1">
        <w:rPr>
          <w:b/>
          <w:lang w:val="es-MX"/>
        </w:rPr>
        <w:t>Zonas de reserva forestal nacional:</w:t>
      </w:r>
      <w:r w:rsidRPr="008F3AB1">
        <w:rPr>
          <w:lang w:val="es-MX"/>
        </w:rPr>
        <w:t xml:space="preserve"> Dentro de esta categoría se encuentran las zonas de reserva forestal nacional de Ley 2 de 1959, las cuales cuentan con zonificación expedida por parte del Ministerio de Ambiente y Desarrollo Sostenible a través de Resoluciones para cada una de estas reservas, las cuales cuentan con zonas en las cuales la actividad agropecuaria no es permitida y otras en las que puede ser desarrollada de manera condicionada. Adicionalmente, se encuentran las Reservas Forestales Protectoras – Productoras de carácter nacional, las cuales se reglamentan a través de plan de manejo ambiental adoptado por parte del Ministerio de Ambiente y Desarrollo Sostenible.</w:t>
      </w:r>
    </w:p>
    <w:p w14:paraId="17E8DD4C" w14:textId="77777777" w:rsidR="00827A41" w:rsidRPr="008F3AB1" w:rsidRDefault="00827A41" w:rsidP="00827A41">
      <w:pPr>
        <w:pStyle w:val="Prrafodelista"/>
        <w:ind w:left="851"/>
        <w:rPr>
          <w:lang w:val="es-MX"/>
        </w:rPr>
      </w:pPr>
    </w:p>
    <w:p w14:paraId="5B7E5A9D" w14:textId="77777777" w:rsidR="00827A41" w:rsidRPr="008F3AB1" w:rsidRDefault="00827A41" w:rsidP="00827A41">
      <w:pPr>
        <w:pStyle w:val="Prrafodelista"/>
        <w:adjustRightInd w:val="0"/>
        <w:ind w:left="851" w:right="49"/>
        <w:rPr>
          <w:rFonts w:eastAsia="Times New Roman"/>
          <w:lang w:val="es-MX" w:eastAsia="es-ES"/>
        </w:rPr>
      </w:pPr>
      <w:r w:rsidRPr="008F3AB1">
        <w:rPr>
          <w:rFonts w:eastAsia="Times New Roman"/>
          <w:lang w:val="es-MX" w:eastAsia="es-ES"/>
        </w:rPr>
        <w:lastRenderedPageBreak/>
        <w:t>Cabe resaltar, que las autoridades ambientales son administradoras de las reservas forestales de carácter nacional, las cuales constituyen determinante ambiental y por tanto norma de superior jerarquía que debe ser acogida por los municipios y distritos en los Planes de Ordenamiento Territorial POT.</w:t>
      </w:r>
    </w:p>
    <w:p w14:paraId="1967271C" w14:textId="77777777" w:rsidR="00827A41" w:rsidRPr="008F3AB1" w:rsidRDefault="00827A41" w:rsidP="00827A41">
      <w:pPr>
        <w:pStyle w:val="Prrafodelista"/>
        <w:adjustRightInd w:val="0"/>
        <w:ind w:left="851" w:right="49"/>
        <w:rPr>
          <w:rFonts w:eastAsia="Times New Roman"/>
          <w:lang w:val="es-MX" w:eastAsia="es-ES"/>
        </w:rPr>
      </w:pPr>
    </w:p>
    <w:p w14:paraId="25540A21" w14:textId="77777777" w:rsidR="00827A41" w:rsidRPr="008F3AB1" w:rsidRDefault="00827A41" w:rsidP="00827A41">
      <w:pPr>
        <w:autoSpaceDE w:val="0"/>
        <w:autoSpaceDN w:val="0"/>
        <w:adjustRightInd w:val="0"/>
        <w:spacing w:after="0"/>
        <w:ind w:left="851" w:right="49"/>
        <w:rPr>
          <w:rFonts w:eastAsia="Times New Roman" w:cs="Arial"/>
          <w:lang w:eastAsia="es-ES"/>
        </w:rPr>
      </w:pPr>
      <w:r w:rsidRPr="008F3AB1">
        <w:rPr>
          <w:rFonts w:eastAsia="Times New Roman" w:cs="Arial"/>
          <w:lang w:eastAsia="es-ES"/>
        </w:rPr>
        <w:t xml:space="preserve">De acuerdo con las resoluciones que adoptan la zonificación y el ordenamiento de las reservas forestales establecidas en la Ley 2 de 1959, se establecen tres tipos de zonas: </w:t>
      </w:r>
    </w:p>
    <w:p w14:paraId="24156D3B" w14:textId="77777777" w:rsidR="00827A41" w:rsidRPr="008F3AB1" w:rsidRDefault="00827A41" w:rsidP="00827A41">
      <w:pPr>
        <w:autoSpaceDE w:val="0"/>
        <w:autoSpaceDN w:val="0"/>
        <w:adjustRightInd w:val="0"/>
        <w:spacing w:after="0"/>
        <w:ind w:left="851" w:right="49"/>
        <w:rPr>
          <w:rFonts w:eastAsia="Times New Roman" w:cs="Arial"/>
          <w:lang w:eastAsia="es-ES"/>
        </w:rPr>
      </w:pPr>
    </w:p>
    <w:p w14:paraId="650C30B8" w14:textId="77777777" w:rsidR="00827A41" w:rsidRPr="008F3AB1" w:rsidRDefault="00827A41" w:rsidP="00827A41">
      <w:pPr>
        <w:pStyle w:val="Prrafodelista"/>
        <w:adjustRightInd w:val="0"/>
        <w:ind w:left="1416" w:right="49"/>
        <w:rPr>
          <w:rFonts w:eastAsia="Times New Roman"/>
          <w:bCs/>
          <w:sz w:val="24"/>
          <w:szCs w:val="24"/>
          <w:lang w:val="es-ES_tradnl" w:eastAsia="es-ES"/>
        </w:rPr>
      </w:pPr>
      <w:r w:rsidRPr="008F3AB1">
        <w:rPr>
          <w:b/>
          <w:bCs/>
          <w:lang w:val="es-MX"/>
        </w:rPr>
        <w:t xml:space="preserve">Zona tipo A </w:t>
      </w:r>
      <w:r w:rsidRPr="008F3AB1">
        <w:rPr>
          <w:lang w:val="es-MX"/>
        </w:rPr>
        <w:t>como aquellas que garantizan el mantenimiento de los procesos ecológicos básicos necesarios para asegurar la oferta de servicios ecosistémicos.</w:t>
      </w:r>
    </w:p>
    <w:p w14:paraId="1FB5FD34" w14:textId="77777777" w:rsidR="00827A41" w:rsidRPr="008F3AB1" w:rsidRDefault="00827A41" w:rsidP="00827A41">
      <w:pPr>
        <w:pStyle w:val="Prrafodelista"/>
        <w:adjustRightInd w:val="0"/>
        <w:ind w:left="2136" w:right="49"/>
        <w:rPr>
          <w:rFonts w:eastAsia="Times New Roman"/>
          <w:bCs/>
          <w:sz w:val="24"/>
          <w:szCs w:val="24"/>
          <w:lang w:val="es-ES_tradnl" w:eastAsia="es-ES"/>
        </w:rPr>
      </w:pPr>
    </w:p>
    <w:p w14:paraId="23BF7F1F" w14:textId="77777777" w:rsidR="00827A41" w:rsidRPr="008F3AB1" w:rsidRDefault="00827A41" w:rsidP="00827A41">
      <w:pPr>
        <w:pStyle w:val="Prrafodelista"/>
        <w:adjustRightInd w:val="0"/>
        <w:ind w:left="1416" w:right="49"/>
        <w:rPr>
          <w:rFonts w:eastAsia="Times New Roman"/>
          <w:bCs/>
          <w:sz w:val="24"/>
          <w:szCs w:val="24"/>
          <w:lang w:val="es-ES_tradnl" w:eastAsia="es-ES"/>
        </w:rPr>
      </w:pPr>
      <w:r w:rsidRPr="008F3AB1">
        <w:rPr>
          <w:b/>
          <w:bCs/>
          <w:lang w:val="es-MX"/>
        </w:rPr>
        <w:t xml:space="preserve">Zona tipo B. </w:t>
      </w:r>
      <w:r w:rsidRPr="008F3AB1">
        <w:rPr>
          <w:lang w:val="es-MX"/>
        </w:rPr>
        <w:t>Que se caracteriza por tener coberturas favorables para un manejo sostenible del recurso forestal mediante un enfoque de ordenación forestal integral y la gestión integral de la biodiversidad y los servicios ecosistémicos.</w:t>
      </w:r>
    </w:p>
    <w:p w14:paraId="047C89D4" w14:textId="77777777" w:rsidR="00827A41" w:rsidRPr="008F3AB1" w:rsidRDefault="00827A41" w:rsidP="00827A41">
      <w:pPr>
        <w:autoSpaceDE w:val="0"/>
        <w:autoSpaceDN w:val="0"/>
        <w:adjustRightInd w:val="0"/>
        <w:spacing w:after="0"/>
        <w:ind w:left="696" w:right="49"/>
        <w:rPr>
          <w:rFonts w:eastAsia="Times New Roman" w:cs="Arial"/>
          <w:bCs/>
          <w:sz w:val="24"/>
          <w:szCs w:val="24"/>
          <w:lang w:val="es-ES_tradnl" w:eastAsia="es-ES"/>
        </w:rPr>
      </w:pPr>
    </w:p>
    <w:p w14:paraId="38C03B05" w14:textId="77777777" w:rsidR="00827A41" w:rsidRPr="008F3AB1" w:rsidRDefault="00827A41" w:rsidP="00827A41">
      <w:pPr>
        <w:pStyle w:val="Prrafodelista"/>
        <w:adjustRightInd w:val="0"/>
        <w:ind w:left="1416" w:right="49"/>
        <w:rPr>
          <w:lang w:val="es-MX"/>
        </w:rPr>
      </w:pPr>
      <w:r w:rsidRPr="008F3AB1">
        <w:rPr>
          <w:b/>
          <w:bCs/>
          <w:lang w:val="es-MX"/>
        </w:rPr>
        <w:t xml:space="preserve">Zona tipo C. </w:t>
      </w:r>
      <w:r w:rsidRPr="008F3AB1">
        <w:rPr>
          <w:lang w:val="es-MX"/>
        </w:rPr>
        <w:t>Que por sus características biofísicas ofrecen condiciones para el desarrollo de actividades productivas agroforestales, silvopastoriles y otras compatibles con los objetivos de la reserva forestal, que deben incorporar el componente forestal y que no impliquen la reducción de las áreas de bosque natural presentes en sus diferentes estados sucesionales.</w:t>
      </w:r>
    </w:p>
    <w:p w14:paraId="41A500B7" w14:textId="77777777" w:rsidR="00827A41" w:rsidRPr="008F3AB1" w:rsidRDefault="00827A41" w:rsidP="00827A41">
      <w:pPr>
        <w:autoSpaceDE w:val="0"/>
        <w:autoSpaceDN w:val="0"/>
        <w:adjustRightInd w:val="0"/>
        <w:spacing w:after="0"/>
        <w:ind w:left="851" w:right="49"/>
        <w:rPr>
          <w:rFonts w:eastAsia="Times New Roman" w:cs="Arial"/>
          <w:lang w:eastAsia="es-ES"/>
        </w:rPr>
      </w:pPr>
    </w:p>
    <w:p w14:paraId="72193469" w14:textId="77777777" w:rsidR="00827A41" w:rsidRPr="008F3AB1" w:rsidRDefault="00827A41" w:rsidP="00827A41">
      <w:pPr>
        <w:pStyle w:val="Prrafodelista"/>
        <w:adjustRightInd w:val="0"/>
        <w:ind w:left="1416" w:right="49"/>
        <w:rPr>
          <w:rFonts w:eastAsia="Times New Roman"/>
          <w:lang w:val="es-MX" w:eastAsia="es-ES"/>
        </w:rPr>
      </w:pPr>
    </w:p>
    <w:p w14:paraId="4BFC885F" w14:textId="77777777" w:rsidR="00827A41" w:rsidRPr="008F3AB1" w:rsidRDefault="00827A41" w:rsidP="00D11514">
      <w:pPr>
        <w:pStyle w:val="Prrafodelista"/>
        <w:adjustRightInd w:val="0"/>
        <w:ind w:left="0" w:right="49"/>
        <w:jc w:val="center"/>
        <w:rPr>
          <w:rFonts w:eastAsia="Times New Roman"/>
          <w:lang w:eastAsia="es-ES"/>
        </w:rPr>
      </w:pPr>
      <w:r w:rsidRPr="008F3AB1">
        <w:rPr>
          <w:rFonts w:eastAsia="Times New Roman"/>
          <w:noProof/>
        </w:rPr>
        <w:lastRenderedPageBreak/>
        <w:drawing>
          <wp:inline distT="0" distB="0" distL="0" distR="0" wp14:anchorId="28D839F6" wp14:editId="061F25DD">
            <wp:extent cx="5450969" cy="7053943"/>
            <wp:effectExtent l="0" t="0" r="0" b="0"/>
            <wp:docPr id="189838356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83561" name="Imagen 1898383561"/>
                    <pic:cNvPicPr/>
                  </pic:nvPicPr>
                  <pic:blipFill>
                    <a:blip r:embed="rId11"/>
                    <a:stretch>
                      <a:fillRect/>
                    </a:stretch>
                  </pic:blipFill>
                  <pic:spPr>
                    <a:xfrm>
                      <a:off x="0" y="0"/>
                      <a:ext cx="5458734" cy="7063992"/>
                    </a:xfrm>
                    <a:prstGeom prst="rect">
                      <a:avLst/>
                    </a:prstGeom>
                  </pic:spPr>
                </pic:pic>
              </a:graphicData>
            </a:graphic>
          </wp:inline>
        </w:drawing>
      </w:r>
    </w:p>
    <w:p w14:paraId="32087177" w14:textId="77777777" w:rsidR="00827A41" w:rsidRPr="008F3AB1" w:rsidRDefault="00827A41" w:rsidP="00827A41">
      <w:pPr>
        <w:pStyle w:val="Descripcin"/>
        <w:rPr>
          <w:rFonts w:cs="Arial"/>
          <w:sz w:val="21"/>
          <w:szCs w:val="21"/>
        </w:rPr>
      </w:pPr>
      <w:bookmarkStart w:id="71" w:name="_Toc171690147"/>
      <w:bookmarkStart w:id="72" w:name="_Toc211877983"/>
      <w:r w:rsidRPr="008F3AB1">
        <w:rPr>
          <w:rFonts w:cs="Arial"/>
        </w:rPr>
        <w:t xml:space="preserve">Figura </w:t>
      </w:r>
      <w:r w:rsidRPr="008F3AB1">
        <w:rPr>
          <w:rFonts w:cs="Arial"/>
        </w:rPr>
        <w:fldChar w:fldCharType="begin"/>
      </w:r>
      <w:r w:rsidRPr="008F3AB1">
        <w:rPr>
          <w:rFonts w:cs="Arial"/>
        </w:rPr>
        <w:instrText xml:space="preserve"> SEQ Figura \* ARABIC </w:instrText>
      </w:r>
      <w:r w:rsidRPr="008F3AB1">
        <w:rPr>
          <w:rFonts w:cs="Arial"/>
        </w:rPr>
        <w:fldChar w:fldCharType="separate"/>
      </w:r>
      <w:r w:rsidRPr="008F3AB1">
        <w:rPr>
          <w:rFonts w:cs="Arial"/>
          <w:noProof/>
        </w:rPr>
        <w:t>2</w:t>
      </w:r>
      <w:r w:rsidRPr="008F3AB1">
        <w:rPr>
          <w:rFonts w:cs="Arial"/>
        </w:rPr>
        <w:fldChar w:fldCharType="end"/>
      </w:r>
      <w:r w:rsidRPr="008F3AB1">
        <w:rPr>
          <w:rFonts w:cs="Arial"/>
        </w:rPr>
        <w:t>. Aptitud de aguacate y reservas forestales de Ley 2ª (DOAT, 2024)</w:t>
      </w:r>
      <w:bookmarkEnd w:id="71"/>
      <w:bookmarkEnd w:id="72"/>
    </w:p>
    <w:p w14:paraId="08F5AA9D" w14:textId="77777777" w:rsidR="00827A41" w:rsidRPr="008F3AB1" w:rsidRDefault="00827A41" w:rsidP="00827A41">
      <w:pPr>
        <w:pStyle w:val="Prrafodelista"/>
        <w:rPr>
          <w:b/>
          <w:bCs/>
          <w:lang w:val="es-MX"/>
        </w:rPr>
      </w:pPr>
    </w:p>
    <w:p w14:paraId="539F0E58" w14:textId="77777777" w:rsidR="00827A41" w:rsidRPr="008F3AB1" w:rsidRDefault="00827A41" w:rsidP="00827A41">
      <w:pPr>
        <w:pStyle w:val="Prrafodelista"/>
        <w:adjustRightInd w:val="0"/>
        <w:ind w:right="49"/>
        <w:rPr>
          <w:rFonts w:eastAsia="Times New Roman"/>
          <w:bCs/>
          <w:sz w:val="24"/>
          <w:szCs w:val="24"/>
          <w:lang w:val="es-ES_tradnl" w:eastAsia="es-ES"/>
        </w:rPr>
      </w:pPr>
    </w:p>
    <w:p w14:paraId="17F6207C" w14:textId="77777777" w:rsidR="00827A41" w:rsidRPr="008F3AB1" w:rsidRDefault="00827A41" w:rsidP="00827A41">
      <w:pPr>
        <w:rPr>
          <w:rFonts w:eastAsia="Times New Roman" w:cs="Arial"/>
          <w:color w:val="000000"/>
        </w:rPr>
      </w:pPr>
      <w:r w:rsidRPr="008F3AB1">
        <w:rPr>
          <w:rFonts w:eastAsia="Times New Roman" w:cs="Arial"/>
          <w:color w:val="000000" w:themeColor="text1"/>
        </w:rPr>
        <w:lastRenderedPageBreak/>
        <w:t xml:space="preserve">Es de resaltar que en la Reserva Forestal Central en Resolución 1922 de 2013 del Ministerio de Ambiente </w:t>
      </w:r>
      <w:r w:rsidRPr="008F3AB1">
        <w:rPr>
          <w:rFonts w:eastAsia="Times New Roman" w:cs="Arial"/>
          <w:i/>
          <w:iCs/>
          <w:color w:val="000000" w:themeColor="text1"/>
        </w:rPr>
        <w:t>“Por la cual se adopta la zonificación y el ordenamiento de la Reserva Forestal Central establecida en la Ley 2 de 1959 y se toman otras determinaciones”</w:t>
      </w:r>
      <w:r w:rsidRPr="008F3AB1">
        <w:rPr>
          <w:rFonts w:eastAsia="Times New Roman" w:cs="Arial"/>
          <w:color w:val="000000" w:themeColor="text1"/>
        </w:rPr>
        <w:t xml:space="preserve"> se definieron lineamientos particulares para la zona tipo C, dado que es una zona en la cual tradicionalmente existen unos procesos agropecuarios, por lo que, si bien se permite este tipo de cultivos, se condiciona a la incorporación del componente forestal en las áreas previstas para su desarrollo.</w:t>
      </w:r>
    </w:p>
    <w:p w14:paraId="5848F8B5" w14:textId="77777777" w:rsidR="00827A41" w:rsidRPr="008F3AB1" w:rsidRDefault="00827A41" w:rsidP="00827A41">
      <w:pPr>
        <w:rPr>
          <w:rFonts w:eastAsia="Times New Roman" w:cs="Arial"/>
          <w:color w:val="000000"/>
        </w:rPr>
      </w:pPr>
      <w:r w:rsidRPr="008F3AB1">
        <w:rPr>
          <w:rFonts w:eastAsia="Times New Roman" w:cs="Arial"/>
          <w:color w:val="000000"/>
        </w:rPr>
        <w:t xml:space="preserve">Igualmente, para las áreas que no cuenten con previa decisión de ordenamiento o en el caso de que se expida una norma que modifique o sustituya la actual zonificación de las reservas de Ley 2 de 1959, y que dicha zona haya sido zonificada de acuerdo con el punto 1.1.10 del Acuerdo Final de Paz, se deberá tener en cuenta lo establecido en dichas zonificaciones. Actualmente se cuenta con la Resolución 1608 de 2021, la cual establece cuatro tipos de zonas, así: </w:t>
      </w:r>
    </w:p>
    <w:p w14:paraId="027A126C" w14:textId="77777777" w:rsidR="00827A41" w:rsidRPr="008F3AB1" w:rsidRDefault="00827A41" w:rsidP="005306CE">
      <w:pPr>
        <w:pStyle w:val="Prrafodelista"/>
        <w:widowControl/>
        <w:numPr>
          <w:ilvl w:val="0"/>
          <w:numId w:val="55"/>
        </w:numPr>
        <w:autoSpaceDE/>
        <w:autoSpaceDN/>
        <w:spacing w:after="160"/>
        <w:contextualSpacing/>
        <w:rPr>
          <w:lang w:val="es-MX"/>
        </w:rPr>
      </w:pPr>
      <w:r w:rsidRPr="008F3AB1">
        <w:rPr>
          <w:lang w:val="es-MX"/>
        </w:rPr>
        <w:t>Zona de manejo ambiental de preservación</w:t>
      </w:r>
      <w:r w:rsidRPr="008F3AB1">
        <w:rPr>
          <w:b/>
          <w:bCs/>
          <w:lang w:val="es-MX"/>
        </w:rPr>
        <w:t>.</w:t>
      </w:r>
      <w:r w:rsidRPr="008F3AB1">
        <w:rPr>
          <w:lang w:val="es-MX"/>
        </w:rPr>
        <w:t> Son áreas con una oferta alta de servicios ecosistémicos que permiten un manejo ambiental enfocado a garantizar el estado natural de las coberturas, la continuidad de los procesos ecológicos y la conservación de la biodiversidad.</w:t>
      </w:r>
    </w:p>
    <w:p w14:paraId="20216478" w14:textId="77777777" w:rsidR="00827A41" w:rsidRPr="008F3AB1" w:rsidRDefault="00827A41" w:rsidP="005306CE">
      <w:pPr>
        <w:pStyle w:val="Prrafodelista"/>
        <w:widowControl/>
        <w:numPr>
          <w:ilvl w:val="0"/>
          <w:numId w:val="55"/>
        </w:numPr>
        <w:autoSpaceDE/>
        <w:autoSpaceDN/>
        <w:spacing w:after="160"/>
        <w:contextualSpacing/>
        <w:rPr>
          <w:lang w:val="es-MX"/>
        </w:rPr>
      </w:pPr>
      <w:bookmarkStart w:id="73" w:name="_Hlk162884987"/>
      <w:bookmarkEnd w:id="73"/>
      <w:r w:rsidRPr="008F3AB1">
        <w:rPr>
          <w:lang w:val="es-MX"/>
        </w:rPr>
        <w:t>Zona de manejo ambiental de restauración</w:t>
      </w:r>
      <w:r w:rsidRPr="008F3AB1">
        <w:rPr>
          <w:b/>
          <w:bCs/>
          <w:lang w:val="es-MX"/>
        </w:rPr>
        <w:t>.</w:t>
      </w:r>
      <w:r w:rsidRPr="008F3AB1">
        <w:rPr>
          <w:lang w:val="es-MX"/>
        </w:rPr>
        <w:t xml:space="preserve"> Son áreas con una oferta alta de servicios ecosistémicos que permiten un manejo ambiental y requieren acciones de recuperación, rehabilitación o restauración ecológica, con fines de manejo ambiental de preservación o de manejo ambiental de uso sostenible para el aprovechamiento de la biodiversidad. </w:t>
      </w:r>
    </w:p>
    <w:p w14:paraId="3C182205" w14:textId="77777777" w:rsidR="00827A41" w:rsidRPr="008F3AB1" w:rsidRDefault="00827A41" w:rsidP="005306CE">
      <w:pPr>
        <w:pStyle w:val="Prrafodelista"/>
        <w:widowControl/>
        <w:numPr>
          <w:ilvl w:val="0"/>
          <w:numId w:val="55"/>
        </w:numPr>
        <w:autoSpaceDE/>
        <w:autoSpaceDN/>
        <w:spacing w:after="160"/>
        <w:contextualSpacing/>
        <w:rPr>
          <w:lang w:val="es-MX"/>
        </w:rPr>
      </w:pPr>
      <w:bookmarkStart w:id="74" w:name="_Hlk162885006"/>
      <w:bookmarkEnd w:id="74"/>
      <w:r w:rsidRPr="008F3AB1">
        <w:rPr>
          <w:lang w:val="es-MX"/>
        </w:rPr>
        <w:t>Zona de manejo ambiental de uso sostenible para el aprovechamiento de la biodiversidad</w:t>
      </w:r>
      <w:r w:rsidRPr="008F3AB1">
        <w:rPr>
          <w:b/>
          <w:bCs/>
          <w:lang w:val="es-MX"/>
        </w:rPr>
        <w:t>.</w:t>
      </w:r>
      <w:r w:rsidRPr="008F3AB1">
        <w:rPr>
          <w:lang w:val="es-MX"/>
        </w:rPr>
        <w:t xml:space="preserve"> Son áreas con una oferta media y baja de servicios ecosistémicos que permiten el manejo sostenible de los recursos forestales, de la biodiversidad y el desarrollo de sistemas productivos sostenibles.</w:t>
      </w:r>
    </w:p>
    <w:p w14:paraId="04DDDCCE" w14:textId="77777777" w:rsidR="00827A41" w:rsidRPr="008F3AB1" w:rsidRDefault="00827A41" w:rsidP="005306CE">
      <w:pPr>
        <w:pStyle w:val="Prrafodelista"/>
        <w:widowControl/>
        <w:numPr>
          <w:ilvl w:val="0"/>
          <w:numId w:val="55"/>
        </w:numPr>
        <w:autoSpaceDE/>
        <w:autoSpaceDN/>
        <w:spacing w:after="160"/>
        <w:contextualSpacing/>
        <w:rPr>
          <w:lang w:val="es-MX"/>
        </w:rPr>
      </w:pPr>
      <w:bookmarkStart w:id="75" w:name="_Hlk162885015"/>
      <w:bookmarkEnd w:id="75"/>
      <w:r w:rsidRPr="008F3AB1">
        <w:rPr>
          <w:lang w:val="es-MX"/>
        </w:rPr>
        <w:t>Zona de manejo ambiental de usos sostenible para el desarrollo</w:t>
      </w:r>
      <w:r w:rsidRPr="008F3AB1">
        <w:rPr>
          <w:b/>
          <w:bCs/>
          <w:lang w:val="es-MX"/>
        </w:rPr>
        <w:t>.</w:t>
      </w:r>
      <w:r w:rsidRPr="008F3AB1">
        <w:rPr>
          <w:lang w:val="es-MX"/>
        </w:rPr>
        <w:t xml:space="preserve"> Son áreas con una oferta media y baja de servicios ecosistémicos que permiten actividades productivas sostenibles, las cuales deben incorporar el componente forestal</w:t>
      </w:r>
      <w:r w:rsidRPr="008F3AB1">
        <w:rPr>
          <w:lang w:val="es-CO" w:eastAsia="es-ES"/>
        </w:rPr>
        <w:t>.</w:t>
      </w:r>
    </w:p>
    <w:p w14:paraId="4E6C8D26" w14:textId="77777777" w:rsidR="00827A41" w:rsidRPr="008F3AB1" w:rsidRDefault="00827A41" w:rsidP="00827A41">
      <w:pPr>
        <w:rPr>
          <w:rFonts w:eastAsia="Times New Roman" w:cs="Arial"/>
          <w:color w:val="000000"/>
        </w:rPr>
      </w:pPr>
      <w:r w:rsidRPr="008F3AB1">
        <w:rPr>
          <w:rFonts w:eastAsia="Times New Roman" w:cs="Arial"/>
          <w:color w:val="000000"/>
        </w:rPr>
        <w:t>De acuerdo con los contenidos de dicha resolución, es claro que tanto las zonas de manejo ambiental para preservación como las zonas de manejo ambiental de restauración, solo se podrán adelantar actividades orientadas a garantizar la conservación y recuperación de las especies forestales nativas.</w:t>
      </w:r>
    </w:p>
    <w:p w14:paraId="356FBB21" w14:textId="77777777" w:rsidR="00827A41" w:rsidRPr="008F3AB1" w:rsidRDefault="00827A41" w:rsidP="00827A41">
      <w:pPr>
        <w:rPr>
          <w:rFonts w:eastAsia="Times New Roman" w:cs="Arial"/>
          <w:color w:val="000000"/>
        </w:rPr>
      </w:pPr>
      <w:r w:rsidRPr="008F3AB1">
        <w:rPr>
          <w:rFonts w:eastAsia="Times New Roman" w:cs="Arial"/>
          <w:color w:val="000000"/>
        </w:rPr>
        <w:t>Por su parte, en las zonas de manejo ambiental de uso sostenible para el aprovechamiento de la biodiversidad se permite el desarrollo de actividades agropecuarias en el marco de la agricultura campesina, familiar y comunitaria, bajo modelos de desarrollo sostenible. En todo caso, no se podrán intervenir nuevas áreas para actividades agropecuarias.</w:t>
      </w:r>
    </w:p>
    <w:p w14:paraId="1A6AB00A" w14:textId="77777777" w:rsidR="00827A41" w:rsidRPr="008F3AB1" w:rsidRDefault="00827A41" w:rsidP="00827A41">
      <w:pPr>
        <w:rPr>
          <w:rFonts w:eastAsia="Times New Roman" w:cs="Arial"/>
          <w:color w:val="000000"/>
        </w:rPr>
      </w:pPr>
      <w:bookmarkStart w:id="76" w:name="OLE_LINK3"/>
      <w:r w:rsidRPr="008F3AB1">
        <w:rPr>
          <w:rFonts w:eastAsia="Times New Roman" w:cs="Arial"/>
          <w:color w:val="000000"/>
        </w:rPr>
        <w:t>Por tanto, el cultivo de aguacate podrá desarrollarse en las áreas para actividades agrícolas y pecuarias ya establecidas, siempre y cuando incorpore el componente forestal o haga parte de procesos de reconversión de las actividades agropecuarias hacia sistemas agrosilvopastoriles y de producción limpia, en sitios estratégicos para la conectividad ecológica.</w:t>
      </w:r>
    </w:p>
    <w:bookmarkEnd w:id="76"/>
    <w:p w14:paraId="09F03B50" w14:textId="77777777" w:rsidR="00827A41" w:rsidRPr="008F3AB1" w:rsidRDefault="00827A41" w:rsidP="00827A41">
      <w:pPr>
        <w:rPr>
          <w:rFonts w:eastAsia="Times New Roman" w:cs="Arial"/>
          <w:bCs/>
          <w:lang w:val="es-ES_tradnl" w:eastAsia="es-ES"/>
        </w:rPr>
      </w:pPr>
      <w:r w:rsidRPr="008F3AB1">
        <w:rPr>
          <w:rFonts w:eastAsia="Times New Roman" w:cs="Arial"/>
          <w:color w:val="000000"/>
        </w:rPr>
        <w:t xml:space="preserve">Respecto a las zonas de manejo ambiental de usos sostenibles para el desarrollo, son las zonas en las cuales se podrá desarrollar actividades agropecuarias que incorporen el </w:t>
      </w:r>
      <w:r w:rsidRPr="008F3AB1">
        <w:rPr>
          <w:rFonts w:eastAsia="Times New Roman" w:cs="Arial"/>
          <w:color w:val="000000"/>
        </w:rPr>
        <w:lastRenderedPageBreak/>
        <w:t>componente forestal y que deberán coincidir con las áreas con aptitud para el cultivo de aguacate conforme a la información oficial dispuesta por la UPRA.</w:t>
      </w:r>
    </w:p>
    <w:p w14:paraId="60203112" w14:textId="77777777" w:rsidR="00827A41" w:rsidRPr="008F3AB1" w:rsidRDefault="00827A41" w:rsidP="00827A41">
      <w:pPr>
        <w:rPr>
          <w:rFonts w:eastAsia="Times New Roman" w:cs="Arial"/>
          <w:lang w:eastAsia="es-ES"/>
        </w:rPr>
      </w:pPr>
      <w:r w:rsidRPr="008F3AB1">
        <w:rPr>
          <w:rFonts w:eastAsia="Times New Roman" w:cs="Arial"/>
          <w:lang w:eastAsia="es-ES"/>
        </w:rPr>
        <w:t>De acuerdo con lo anterior, previo al establecimiento de un cultivo de aguacate en reservas forestales, la autoridad ambiental deberá verificar y analizar mediante cruce cartográfico con qué otras determinantes ambientales, tipo de zona (A, B o C) o zona de manejo ambiental se traslapa el polígono propuesto, e indicar en qué áreas podrán desarrollarse este tipo de actividades productivas, las restricciones y condiciones para su establecimiento, desarrollo y operación.</w:t>
      </w:r>
    </w:p>
    <w:p w14:paraId="4E07648B" w14:textId="77777777" w:rsidR="00827A41" w:rsidRPr="008F3AB1" w:rsidRDefault="00827A41" w:rsidP="00827A41">
      <w:pPr>
        <w:rPr>
          <w:rFonts w:eastAsia="Times New Roman" w:cs="Arial"/>
          <w:lang w:eastAsia="es-ES"/>
        </w:rPr>
      </w:pPr>
      <w:r w:rsidRPr="008F3AB1">
        <w:rPr>
          <w:rFonts w:eastAsia="Times New Roman" w:cs="Arial"/>
          <w:lang w:eastAsia="es-ES"/>
        </w:rPr>
        <w:t>Así mismo, una vez entren en vigencia los lineamientos del presente documento, se deberá realizar una revisión y análisis de los cultivos existentes, indicar y comunicar a los respectivos propietarios y entidades territoriales las estrategias para la implementación de  buenas prácticas asociadas al desarrollo del cultivo e aguacate y demás requerimientos que considere pertinentes para preservar o recuperar la conectividad ecológica y la funcionalidad ecosistémica e integridad de los recursos naturales.</w:t>
      </w:r>
    </w:p>
    <w:p w14:paraId="0CA8FCA5" w14:textId="77777777" w:rsidR="00827A41" w:rsidRPr="008F3AB1" w:rsidRDefault="00827A41" w:rsidP="00827A41">
      <w:pPr>
        <w:rPr>
          <w:rFonts w:eastAsiaTheme="minorEastAsia" w:cs="Arial"/>
          <w:b/>
          <w:sz w:val="24"/>
          <w:szCs w:val="32"/>
          <w:lang w:val="es-ES_tradnl" w:eastAsia="es-ES"/>
        </w:rPr>
      </w:pPr>
      <w:r w:rsidRPr="008F3AB1">
        <w:rPr>
          <w:rFonts w:eastAsiaTheme="minorEastAsia" w:cs="Arial"/>
          <w:b/>
          <w:sz w:val="24"/>
          <w:szCs w:val="32"/>
          <w:lang w:eastAsia="es-ES"/>
        </w:rPr>
        <w:t>D</w:t>
      </w:r>
      <w:r w:rsidRPr="008F3AB1">
        <w:rPr>
          <w:rFonts w:eastAsiaTheme="minorEastAsia" w:cs="Arial"/>
          <w:b/>
          <w:sz w:val="24"/>
          <w:szCs w:val="32"/>
          <w:lang w:val="es-ES_tradnl" w:eastAsia="es-ES"/>
        </w:rPr>
        <w:t>esarrollo de actividades agrícolas en áreas de reserva forestal de Ley 2ª</w:t>
      </w:r>
    </w:p>
    <w:p w14:paraId="49F0F8BE" w14:textId="77777777" w:rsidR="00827A41" w:rsidRPr="008F3AB1" w:rsidRDefault="00827A41" w:rsidP="00827A41">
      <w:pPr>
        <w:rPr>
          <w:rFonts w:eastAsia="Times New Roman" w:cs="Arial"/>
          <w:lang w:eastAsia="es-ES"/>
        </w:rPr>
      </w:pPr>
      <w:r w:rsidRPr="008F3AB1">
        <w:rPr>
          <w:rFonts w:eastAsia="Times New Roman" w:cs="Arial"/>
          <w:lang w:eastAsia="es-ES"/>
        </w:rPr>
        <w:t>El desarrollo de actividades agrícolas en áreas de reserva forestal de Ley 2ª debe necesariamente atender los lineamientos establecidos en las resoluciones de zonificación y ordenamiento de estas reservas forestales o en los actos administrativos que las modifiquen o sustituyan. Es así que, el ordenamiento general de las reservas forestales atenderá, las siguientes directrices:</w:t>
      </w:r>
    </w:p>
    <w:p w14:paraId="3C8370B5" w14:textId="77777777" w:rsidR="00827A41" w:rsidRPr="008F3AB1" w:rsidRDefault="00827A41" w:rsidP="005306CE">
      <w:pPr>
        <w:pStyle w:val="Prrafodelista"/>
        <w:widowControl/>
        <w:numPr>
          <w:ilvl w:val="0"/>
          <w:numId w:val="34"/>
        </w:numPr>
        <w:autoSpaceDE/>
        <w:autoSpaceDN/>
        <w:spacing w:after="160"/>
        <w:contextualSpacing/>
        <w:rPr>
          <w:rFonts w:eastAsia="Times New Roman"/>
          <w:lang w:val="es-MX" w:eastAsia="es-ES"/>
        </w:rPr>
      </w:pPr>
      <w:r w:rsidRPr="008F3AB1">
        <w:rPr>
          <w:rFonts w:eastAsia="Times New Roman"/>
          <w:lang w:val="es-MX" w:eastAsia="es-ES"/>
        </w:rPr>
        <w:t>En las zonas que presenten ecosistemas que hayan modificado las características de función, estructura y composición debido a disturbios naturales o antrópicos, se deben priorizar proyectos o actividades que propendan por controlar los factores de degradación de estos, promoviendo procesos de restauración ecológica, rehabilitación o recuperación tal como lo establece el Plan Nacional de Restauración.</w:t>
      </w:r>
    </w:p>
    <w:p w14:paraId="1987A7DF" w14:textId="77777777" w:rsidR="00827A41" w:rsidRPr="008F3AB1" w:rsidRDefault="00827A41" w:rsidP="00827A41">
      <w:pPr>
        <w:pStyle w:val="Prrafodelista"/>
        <w:rPr>
          <w:rFonts w:eastAsia="Times New Roman"/>
          <w:lang w:val="es-MX" w:eastAsia="es-ES"/>
        </w:rPr>
      </w:pPr>
    </w:p>
    <w:p w14:paraId="043FE0DE" w14:textId="77777777" w:rsidR="00827A41" w:rsidRPr="008F3AB1" w:rsidRDefault="00827A41" w:rsidP="005306CE">
      <w:pPr>
        <w:pStyle w:val="Prrafodelista"/>
        <w:widowControl/>
        <w:numPr>
          <w:ilvl w:val="0"/>
          <w:numId w:val="34"/>
        </w:numPr>
        <w:autoSpaceDE/>
        <w:autoSpaceDN/>
        <w:contextualSpacing/>
        <w:rPr>
          <w:rFonts w:eastAsia="Times New Roman"/>
          <w:lang w:val="es-MX" w:eastAsia="es-ES"/>
        </w:rPr>
      </w:pPr>
      <w:r w:rsidRPr="008F3AB1">
        <w:rPr>
          <w:rFonts w:eastAsia="Times New Roman"/>
          <w:lang w:val="es-MX" w:eastAsia="es-ES"/>
        </w:rPr>
        <w:t>En los sectores de las áreas de Reserva Forestal que presenten riesgo de remoción en masa, solamente se podrán desarrollar actividades de preservación y restauración ecológica.</w:t>
      </w:r>
    </w:p>
    <w:p w14:paraId="21A269BC" w14:textId="77777777" w:rsidR="00827A41" w:rsidRPr="008F3AB1" w:rsidRDefault="00827A41" w:rsidP="00827A41">
      <w:pPr>
        <w:spacing w:after="0"/>
        <w:rPr>
          <w:rFonts w:eastAsia="Times New Roman" w:cs="Arial"/>
          <w:lang w:eastAsia="es-ES"/>
        </w:rPr>
      </w:pPr>
    </w:p>
    <w:p w14:paraId="6EBF16E7" w14:textId="77777777" w:rsidR="00827A41" w:rsidRPr="008F3AB1" w:rsidRDefault="00827A41" w:rsidP="005306CE">
      <w:pPr>
        <w:pStyle w:val="Prrafodelista"/>
        <w:widowControl/>
        <w:numPr>
          <w:ilvl w:val="0"/>
          <w:numId w:val="34"/>
        </w:numPr>
        <w:autoSpaceDE/>
        <w:autoSpaceDN/>
        <w:spacing w:after="160"/>
        <w:contextualSpacing/>
        <w:rPr>
          <w:rFonts w:eastAsia="Times New Roman"/>
          <w:lang w:val="es-MX" w:eastAsia="es-ES"/>
        </w:rPr>
      </w:pPr>
      <w:r w:rsidRPr="008F3AB1">
        <w:rPr>
          <w:rFonts w:eastAsia="Times New Roman"/>
          <w:lang w:val="es-MX" w:eastAsia="es-ES"/>
        </w:rPr>
        <w:t>En todos los tipos de zonas de las reservas de Ley 2 de 1959, las autoridades ambientales deberán aunar esfuerzos para evitar la transformación y pérdida de ecosistemas y hábitats naturales, la sobre explotación, las invasiones biológicas, la contaminación y los efectos adversos del cambio climático. En todo caso, al interior de las áreas forestales de Ley 2da se deberá mantener o preservar las áreas con coberturas naturales sin importar la clase de zona.</w:t>
      </w:r>
    </w:p>
    <w:p w14:paraId="33DE924E" w14:textId="77777777" w:rsidR="00827A41" w:rsidRPr="008F3AB1" w:rsidRDefault="00827A41" w:rsidP="00827A41">
      <w:pPr>
        <w:pStyle w:val="Prrafodelista"/>
        <w:rPr>
          <w:rFonts w:eastAsia="Times New Roman"/>
          <w:lang w:val="es-MX" w:eastAsia="es-ES"/>
        </w:rPr>
      </w:pPr>
    </w:p>
    <w:p w14:paraId="7C9F93DF" w14:textId="77777777" w:rsidR="00827A41" w:rsidRPr="008F3AB1" w:rsidRDefault="00827A41" w:rsidP="005306CE">
      <w:pPr>
        <w:pStyle w:val="Prrafodelista"/>
        <w:widowControl/>
        <w:numPr>
          <w:ilvl w:val="0"/>
          <w:numId w:val="34"/>
        </w:numPr>
        <w:autoSpaceDE/>
        <w:autoSpaceDN/>
        <w:contextualSpacing/>
        <w:rPr>
          <w:rFonts w:eastAsia="Times New Roman"/>
          <w:lang w:val="es-MX" w:eastAsia="es-ES"/>
        </w:rPr>
      </w:pPr>
      <w:r w:rsidRPr="008F3AB1">
        <w:rPr>
          <w:rFonts w:eastAsia="Times New Roman"/>
          <w:lang w:val="es-MX" w:eastAsia="es-ES"/>
        </w:rPr>
        <w:t>En el desarrollo de actividades que no requieran sustracción de las áreas de Reserva Forestal, se propenderá por la implementación de prácticas ambientalmente sostenibles.</w:t>
      </w:r>
    </w:p>
    <w:p w14:paraId="10F8D48A" w14:textId="77777777" w:rsidR="00827A41" w:rsidRPr="008F3AB1" w:rsidRDefault="00827A41" w:rsidP="00827A41">
      <w:pPr>
        <w:pStyle w:val="Prrafodelista"/>
        <w:rPr>
          <w:rFonts w:eastAsia="Times New Roman"/>
          <w:lang w:val="es-MX" w:eastAsia="es-ES"/>
        </w:rPr>
      </w:pPr>
    </w:p>
    <w:p w14:paraId="34FE75CB" w14:textId="77777777" w:rsidR="00827A41" w:rsidRPr="008F3AB1" w:rsidRDefault="00827A41" w:rsidP="005306CE">
      <w:pPr>
        <w:pStyle w:val="Prrafodelista"/>
        <w:widowControl/>
        <w:numPr>
          <w:ilvl w:val="0"/>
          <w:numId w:val="34"/>
        </w:numPr>
        <w:autoSpaceDE/>
        <w:autoSpaceDN/>
        <w:spacing w:after="160"/>
        <w:contextualSpacing/>
        <w:rPr>
          <w:rFonts w:eastAsia="Times New Roman"/>
          <w:bCs/>
          <w:lang w:val="es-ES_tradnl" w:eastAsia="es-ES"/>
        </w:rPr>
      </w:pPr>
      <w:r w:rsidRPr="008F3AB1">
        <w:rPr>
          <w:rFonts w:eastAsia="Times New Roman"/>
          <w:lang w:val="es-MX" w:eastAsia="es-ES"/>
        </w:rPr>
        <w:t xml:space="preserve">En las áreas de la reserva forestal con condiciones biofísicas aptas para el desarrollo de actividades productivas agropecuarias y que actualmente están destinadas a </w:t>
      </w:r>
      <w:r w:rsidRPr="008F3AB1">
        <w:rPr>
          <w:rFonts w:eastAsia="Times New Roman"/>
          <w:lang w:val="es-MX" w:eastAsia="es-ES"/>
        </w:rPr>
        <w:lastRenderedPageBreak/>
        <w:t xml:space="preserve">esta actividad, se deberá incorporar el componente forestal a través de sistemas agroforestales, silvopastoriles y herramientas de manejo del paisaje, que permitan la conectividad de las áreas boscosas presentes y el mantenimiento de estas como soporte de la oferta de servicios ecosistémicos. </w:t>
      </w:r>
    </w:p>
    <w:p w14:paraId="20F9C769" w14:textId="77777777" w:rsidR="00827A41" w:rsidRPr="008F3AB1" w:rsidRDefault="00827A41" w:rsidP="00827A41">
      <w:pPr>
        <w:pStyle w:val="Prrafodelista"/>
        <w:rPr>
          <w:rFonts w:eastAsia="Times New Roman"/>
          <w:bCs/>
          <w:lang w:val="es-ES_tradnl" w:eastAsia="es-ES"/>
        </w:rPr>
      </w:pPr>
    </w:p>
    <w:p w14:paraId="2963D8BE" w14:textId="77777777" w:rsidR="00827A41" w:rsidRPr="008F3AB1" w:rsidRDefault="00827A41" w:rsidP="005306CE">
      <w:pPr>
        <w:pStyle w:val="Prrafodelista"/>
        <w:widowControl/>
        <w:numPr>
          <w:ilvl w:val="0"/>
          <w:numId w:val="34"/>
        </w:numPr>
        <w:autoSpaceDE/>
        <w:autoSpaceDN/>
        <w:spacing w:after="160"/>
        <w:contextualSpacing/>
        <w:rPr>
          <w:rFonts w:eastAsia="Times New Roman"/>
          <w:lang w:val="es-MX" w:eastAsia="es-ES"/>
        </w:rPr>
      </w:pPr>
      <w:r w:rsidRPr="008F3AB1">
        <w:rPr>
          <w:rFonts w:eastAsia="Times New Roman"/>
          <w:bCs/>
          <w:lang w:val="es-ES_tradnl" w:eastAsia="es-ES"/>
        </w:rPr>
        <w:t xml:space="preserve">En general, los proyectos productivos podrán desarrollarse en predios privados, siempre y cuando no implique la ampliación de la frontera agrícola, se evite la reducción de las áreas de bosque natural, cuenten con un componente forestal, no afecten el recurso hídrico y se ejecuten implementando buenas prácticas ambientales. </w:t>
      </w:r>
    </w:p>
    <w:p w14:paraId="767EC371" w14:textId="77777777" w:rsidR="00827A41" w:rsidRPr="008F3AB1" w:rsidRDefault="00827A41" w:rsidP="00827A41">
      <w:pPr>
        <w:pStyle w:val="Prrafodelista"/>
        <w:rPr>
          <w:rFonts w:eastAsia="Times New Roman"/>
          <w:lang w:val="es-MX" w:eastAsia="es-ES"/>
        </w:rPr>
      </w:pPr>
    </w:p>
    <w:p w14:paraId="781CBEC2" w14:textId="77777777" w:rsidR="00827A41" w:rsidRPr="008F3AB1" w:rsidRDefault="00827A41" w:rsidP="005306CE">
      <w:pPr>
        <w:pStyle w:val="Prrafodelista"/>
        <w:widowControl/>
        <w:numPr>
          <w:ilvl w:val="0"/>
          <w:numId w:val="34"/>
        </w:numPr>
        <w:autoSpaceDE/>
        <w:autoSpaceDN/>
        <w:spacing w:after="160"/>
        <w:contextualSpacing/>
        <w:rPr>
          <w:rFonts w:eastAsia="Times New Roman"/>
          <w:bCs/>
          <w:lang w:val="es-ES_tradnl" w:eastAsia="es-ES"/>
        </w:rPr>
      </w:pPr>
      <w:r w:rsidRPr="008F3AB1">
        <w:rPr>
          <w:rFonts w:eastAsia="Times New Roman"/>
          <w:lang w:val="es-MX" w:eastAsia="es-ES"/>
        </w:rPr>
        <w:t xml:space="preserve">En las reservas forestales de ley 2 de 1959 se deberá incentivar la reconversión de la producción agrícola y pecuaria existente hacia esquemas de producción sostenibles, que sean compatibles con las características biofísicas del tipo de zona y propiciar procesos de restauración ecológica, rehabilitación y recuperación. </w:t>
      </w:r>
    </w:p>
    <w:p w14:paraId="01CF0A4C" w14:textId="77777777" w:rsidR="00827A41" w:rsidRPr="008F3AB1" w:rsidRDefault="00827A41" w:rsidP="00827A41">
      <w:pPr>
        <w:pStyle w:val="Prrafodelista"/>
        <w:rPr>
          <w:rFonts w:eastAsia="Times New Roman"/>
          <w:bCs/>
          <w:lang w:val="es-ES_tradnl" w:eastAsia="es-ES"/>
        </w:rPr>
      </w:pPr>
    </w:p>
    <w:p w14:paraId="7ECAB5C9" w14:textId="77777777" w:rsidR="00827A41" w:rsidRPr="008F3AB1" w:rsidRDefault="00827A41" w:rsidP="005306CE">
      <w:pPr>
        <w:pStyle w:val="Prrafodelista"/>
        <w:widowControl/>
        <w:numPr>
          <w:ilvl w:val="0"/>
          <w:numId w:val="34"/>
        </w:numPr>
        <w:autoSpaceDE/>
        <w:autoSpaceDN/>
        <w:spacing w:after="160"/>
        <w:contextualSpacing/>
        <w:rPr>
          <w:rFonts w:eastAsia="Times New Roman"/>
          <w:lang w:val="es-MX" w:eastAsia="es-ES"/>
        </w:rPr>
      </w:pPr>
      <w:r w:rsidRPr="008F3AB1">
        <w:rPr>
          <w:rFonts w:eastAsia="Times New Roman"/>
          <w:bCs/>
          <w:lang w:val="es-ES_tradnl" w:eastAsia="es-ES"/>
        </w:rPr>
        <w:t>Se deberá propender porque el desarrollo de actividades de producción agrícola y pecuaria integren criterios de sostenibilidad y buenas prácticas ambientales, y en particular seguir las recomendaciones establecidas en las guías ambientales sectoriales expedidas por el Ministerio de Ambiente y Desarrollo Sostenible.</w:t>
      </w:r>
    </w:p>
    <w:p w14:paraId="41ACD85B" w14:textId="77777777" w:rsidR="00827A41" w:rsidRPr="008F3AB1" w:rsidRDefault="00827A41" w:rsidP="00827A41">
      <w:pPr>
        <w:pStyle w:val="Prrafodelista"/>
        <w:rPr>
          <w:rFonts w:eastAsia="Times New Roman"/>
          <w:lang w:val="es-MX" w:eastAsia="es-ES"/>
        </w:rPr>
      </w:pPr>
    </w:p>
    <w:p w14:paraId="1EF5010A" w14:textId="77777777" w:rsidR="00827A41" w:rsidRPr="008F3AB1" w:rsidRDefault="00827A41" w:rsidP="005306CE">
      <w:pPr>
        <w:pStyle w:val="Prrafodelista"/>
        <w:widowControl/>
        <w:numPr>
          <w:ilvl w:val="0"/>
          <w:numId w:val="34"/>
        </w:numPr>
        <w:autoSpaceDE/>
        <w:autoSpaceDN/>
        <w:spacing w:after="160"/>
        <w:contextualSpacing/>
        <w:rPr>
          <w:rFonts w:eastAsia="Times New Roman"/>
          <w:lang w:val="es-MX" w:eastAsia="es-ES"/>
        </w:rPr>
      </w:pPr>
      <w:r w:rsidRPr="008F3AB1">
        <w:rPr>
          <w:rFonts w:eastAsia="Times New Roman"/>
          <w:lang w:val="es-MX" w:eastAsia="es-ES"/>
        </w:rPr>
        <w:t>Se fomentará que las actividades productivas que se desarrollen mantengan las coberturas de bosque natural presentes, las cuales no serán objeto de aprovechamiento forestal, además de hacer un uso sostenible de las mismas.</w:t>
      </w:r>
    </w:p>
    <w:p w14:paraId="38359847" w14:textId="77777777" w:rsidR="00827A41" w:rsidRPr="008F3AB1" w:rsidRDefault="00827A41" w:rsidP="005306CE">
      <w:pPr>
        <w:pStyle w:val="Ttulo1"/>
        <w:keepNext/>
        <w:keepLines/>
        <w:widowControl/>
        <w:numPr>
          <w:ilvl w:val="2"/>
          <w:numId w:val="43"/>
        </w:numPr>
        <w:autoSpaceDE/>
        <w:autoSpaceDN/>
        <w:spacing w:before="240"/>
        <w:rPr>
          <w:rFonts w:eastAsiaTheme="minorEastAsia"/>
          <w:lang w:val="es-MX" w:eastAsia="es-ES"/>
        </w:rPr>
      </w:pPr>
      <w:bookmarkStart w:id="77" w:name="_Toc104385043"/>
      <w:bookmarkStart w:id="78" w:name="_Toc211877970"/>
      <w:r w:rsidRPr="008F3AB1">
        <w:rPr>
          <w:rFonts w:eastAsiaTheme="minorEastAsia"/>
          <w:lang w:val="es-MX" w:eastAsia="es-ES"/>
        </w:rPr>
        <w:t>Lineamientos durante la operación del cultivo.</w:t>
      </w:r>
      <w:bookmarkEnd w:id="77"/>
      <w:bookmarkEnd w:id="78"/>
    </w:p>
    <w:p w14:paraId="7B1FA5BE" w14:textId="77777777" w:rsidR="00827A41" w:rsidRPr="008F3AB1" w:rsidRDefault="00827A41" w:rsidP="00827A41">
      <w:pPr>
        <w:rPr>
          <w:rFonts w:cs="Arial"/>
          <w:lang w:val="es-ES_tradnl" w:eastAsia="es-ES"/>
        </w:rPr>
      </w:pPr>
    </w:p>
    <w:p w14:paraId="082674F2" w14:textId="77777777" w:rsidR="00827A41" w:rsidRPr="008F3AB1" w:rsidRDefault="00827A41" w:rsidP="00827A41">
      <w:pPr>
        <w:rPr>
          <w:rFonts w:cs="Arial"/>
          <w:lang w:eastAsia="es-ES"/>
        </w:rPr>
      </w:pPr>
      <w:r w:rsidRPr="008F3AB1">
        <w:rPr>
          <w:rFonts w:cs="Arial"/>
          <w:lang w:eastAsia="es-ES"/>
        </w:rPr>
        <w:t>Una vez se dé inicio al cultivo del aguacate, es necesario que la autoridad ambiental tenga en cuenta y verifique los siguientes aspectos:</w:t>
      </w:r>
    </w:p>
    <w:p w14:paraId="46611266" w14:textId="77777777" w:rsidR="00827A41" w:rsidRPr="008F3AB1" w:rsidRDefault="00827A41" w:rsidP="005306CE">
      <w:pPr>
        <w:pStyle w:val="Prrafodelista"/>
        <w:widowControl/>
        <w:numPr>
          <w:ilvl w:val="0"/>
          <w:numId w:val="1"/>
        </w:numPr>
        <w:autoSpaceDE/>
        <w:autoSpaceDN/>
        <w:spacing w:after="160"/>
        <w:contextualSpacing/>
        <w:rPr>
          <w:lang w:val="es-MX" w:eastAsia="es-ES"/>
        </w:rPr>
      </w:pPr>
      <w:r w:rsidRPr="008F3AB1">
        <w:rPr>
          <w:lang w:val="es-MX"/>
        </w:rPr>
        <w:t>En caso de que el predio objeto del cultivo, cuente con nacimientos de agua o corrientes hídricas (temporales o permanentes), debe exigir la conservación tanto del cuerpo de agua como de su ronda hídrica, de acuerdo con el acotamiento. En caso de no contar con acotamiento, se debe acoger la delimitación dada por el Plan de Ordenamiento Territorial para elementos del recurso hídrico.</w:t>
      </w:r>
    </w:p>
    <w:p w14:paraId="150BAC86" w14:textId="77777777" w:rsidR="00827A41" w:rsidRPr="008F3AB1" w:rsidRDefault="00827A41" w:rsidP="005306CE">
      <w:pPr>
        <w:pStyle w:val="Prrafodelista"/>
        <w:widowControl/>
        <w:numPr>
          <w:ilvl w:val="0"/>
          <w:numId w:val="1"/>
        </w:numPr>
        <w:autoSpaceDE/>
        <w:autoSpaceDN/>
        <w:spacing w:after="160"/>
        <w:contextualSpacing/>
        <w:rPr>
          <w:lang w:val="es-MX" w:eastAsia="es-ES"/>
        </w:rPr>
      </w:pPr>
      <w:r w:rsidRPr="008F3AB1">
        <w:rPr>
          <w:lang w:val="es-MX"/>
        </w:rPr>
        <w:t>Exigir al productor el cumplimiento de los lineamientos y medidas de manejo establecidas a través en el acto administrativo que acote las rondas hídricas. En caso de haber sido transformada, realizar actividades de restauración ecológica en estas áreas, según lineamientos que dé la autoridad ambiental competente.</w:t>
      </w:r>
    </w:p>
    <w:p w14:paraId="7BE63F82" w14:textId="77777777" w:rsidR="00827A41" w:rsidRPr="008F3AB1" w:rsidRDefault="00827A41" w:rsidP="005306CE">
      <w:pPr>
        <w:pStyle w:val="Prrafodelista"/>
        <w:widowControl/>
        <w:numPr>
          <w:ilvl w:val="0"/>
          <w:numId w:val="1"/>
        </w:numPr>
        <w:autoSpaceDE/>
        <w:autoSpaceDN/>
        <w:spacing w:after="160"/>
        <w:contextualSpacing/>
        <w:rPr>
          <w:lang w:val="es-MX" w:eastAsia="es-ES"/>
        </w:rPr>
      </w:pPr>
      <w:r w:rsidRPr="008F3AB1">
        <w:rPr>
          <w:lang w:val="es-MX"/>
        </w:rPr>
        <w:t>Verificar la permanencia de los relictos de bosque nativo al interior de los predios en los cuales se realiza el cultivo de aguacate.</w:t>
      </w:r>
    </w:p>
    <w:p w14:paraId="4B1F4C39" w14:textId="77777777" w:rsidR="00827A41" w:rsidRPr="008F3AB1" w:rsidRDefault="00827A41" w:rsidP="005306CE">
      <w:pPr>
        <w:pStyle w:val="Prrafodelista"/>
        <w:widowControl/>
        <w:numPr>
          <w:ilvl w:val="0"/>
          <w:numId w:val="1"/>
        </w:numPr>
        <w:autoSpaceDE/>
        <w:autoSpaceDN/>
        <w:spacing w:after="160"/>
        <w:contextualSpacing/>
        <w:rPr>
          <w:strike/>
          <w:lang w:val="es-MX"/>
        </w:rPr>
      </w:pPr>
      <w:r w:rsidRPr="008F3AB1">
        <w:rPr>
          <w:strike/>
          <w:lang w:val="es-MX"/>
        </w:rPr>
        <w:t>En caso de requerir el uso de recursos naturales, la autoridad ambiental debe exigir los permisos, licencias, autorizaciones, sustracciones o concesiones sin exclusión de otra que sea de carácter primordial, para la sostenibilidad del medio.</w:t>
      </w:r>
    </w:p>
    <w:p w14:paraId="0ABBF310" w14:textId="77777777" w:rsidR="00827A41" w:rsidRPr="008F3AB1" w:rsidRDefault="00827A41" w:rsidP="005306CE">
      <w:pPr>
        <w:pStyle w:val="Prrafodelista"/>
        <w:widowControl/>
        <w:numPr>
          <w:ilvl w:val="0"/>
          <w:numId w:val="1"/>
        </w:numPr>
        <w:autoSpaceDE/>
        <w:autoSpaceDN/>
        <w:spacing w:before="100" w:beforeAutospacing="1" w:after="160"/>
        <w:contextualSpacing/>
        <w:rPr>
          <w:b/>
          <w:bCs/>
          <w:i/>
          <w:iCs/>
          <w:color w:val="000000"/>
          <w:sz w:val="20"/>
          <w:szCs w:val="20"/>
          <w:shd w:val="clear" w:color="auto" w:fill="FFFFFF"/>
          <w:lang w:val="es-CO"/>
        </w:rPr>
      </w:pPr>
      <w:r w:rsidRPr="008F3AB1">
        <w:rPr>
          <w:lang w:val="es-ES_tradnl" w:eastAsia="es-ES"/>
        </w:rPr>
        <w:t>Respecto a la conservación de los recursos naturales en predios rurales, acoger lo establecido en el Decreto 1076 de 2015 sección 18 “</w:t>
      </w:r>
      <w:r w:rsidRPr="008F3AB1">
        <w:rPr>
          <w:i/>
          <w:iCs/>
          <w:lang w:val="es-ES_tradnl" w:eastAsia="es-ES"/>
        </w:rPr>
        <w:t>conservación de los recursos naturales en predios rurales”</w:t>
      </w:r>
      <w:r w:rsidRPr="008F3AB1">
        <w:rPr>
          <w:lang w:val="es-ES_tradnl" w:eastAsia="es-ES"/>
        </w:rPr>
        <w:t xml:space="preserve"> asociado a la protección de las aguas, los bosques, fauna y suelos. </w:t>
      </w:r>
    </w:p>
    <w:p w14:paraId="676863CF" w14:textId="77777777" w:rsidR="00827A41" w:rsidRPr="008F3AB1" w:rsidRDefault="00827A41" w:rsidP="005306CE">
      <w:pPr>
        <w:pStyle w:val="Prrafodelista"/>
        <w:widowControl/>
        <w:numPr>
          <w:ilvl w:val="0"/>
          <w:numId w:val="1"/>
        </w:numPr>
        <w:autoSpaceDE/>
        <w:autoSpaceDN/>
        <w:spacing w:after="160"/>
        <w:contextualSpacing/>
        <w:rPr>
          <w:lang w:val="es-MX"/>
        </w:rPr>
      </w:pPr>
      <w:r w:rsidRPr="008F3AB1">
        <w:rPr>
          <w:lang w:val="es-MX"/>
        </w:rPr>
        <w:lastRenderedPageBreak/>
        <w:t>Exigir al productor, en el marco de las concesiones de agua otorgadas por la autoridad ambiental y en caso de no requerir concesión, el seguimiento del consumo de agua en el cultivo.</w:t>
      </w:r>
    </w:p>
    <w:p w14:paraId="2AC9E27A" w14:textId="77777777" w:rsidR="00827A41" w:rsidRPr="008F3AB1" w:rsidRDefault="00827A41" w:rsidP="00827A41">
      <w:pPr>
        <w:rPr>
          <w:rFonts w:cs="Arial"/>
          <w:lang w:eastAsia="es-ES"/>
        </w:rPr>
      </w:pPr>
      <w:r w:rsidRPr="008F3AB1">
        <w:rPr>
          <w:rFonts w:cs="Arial"/>
          <w:lang w:eastAsia="es-ES"/>
        </w:rPr>
        <w:t>Respecto a las áreas que para el momento de la expedición de los presentes lineamientos estén ocupadas con cultivos de aguacate, a fin de que la autoridad ambiental pueda ejercer con mayor precisión sus funciones de control, inspección y seguimiento, debe realizar la solicitud a las entidades territoriales sobre dichas áreas y proceder a la verificación del cumplimiento de las normas ambientales vigentes.</w:t>
      </w:r>
    </w:p>
    <w:p w14:paraId="1E0239D7" w14:textId="77777777" w:rsidR="00827A41" w:rsidRPr="008F3AB1" w:rsidRDefault="00827A41" w:rsidP="00827A41">
      <w:pPr>
        <w:rPr>
          <w:rFonts w:cs="Arial"/>
          <w:lang w:eastAsia="es-ES"/>
        </w:rPr>
      </w:pPr>
      <w:r w:rsidRPr="008F3AB1">
        <w:rPr>
          <w:rFonts w:cs="Arial"/>
          <w:lang w:eastAsia="es-ES"/>
        </w:rPr>
        <w:t>Adicionalmente, la autoridad ambiental a través de procesos de formación, capacitación o educación y en articulación con las entidades del sector agropecuario, pesquero y de desarrollo rural o entidades territoriales puede recomendar a los productores la implementación de buenas prácticas agrícolas para el uso adecuado de los recursos naturales y la mitigación de posibles impactos ambientales, para lo cual se proponen las siguientes acciones y que pueden ser exigibles por la autoridad ambiental en el otorgamiento de los permisos y concesiones requeridos para el funcionamiento del cultivo.</w:t>
      </w:r>
    </w:p>
    <w:p w14:paraId="5671A693" w14:textId="77777777" w:rsidR="00827A41" w:rsidRPr="008F3AB1" w:rsidRDefault="00827A41" w:rsidP="005306CE">
      <w:pPr>
        <w:pStyle w:val="Ttulo1"/>
        <w:keepNext/>
        <w:keepLines/>
        <w:widowControl/>
        <w:numPr>
          <w:ilvl w:val="3"/>
          <w:numId w:val="43"/>
        </w:numPr>
        <w:autoSpaceDE/>
        <w:autoSpaceDN/>
        <w:spacing w:before="240"/>
        <w:rPr>
          <w:rFonts w:eastAsiaTheme="minorEastAsia"/>
          <w:lang w:val="es-MX" w:eastAsia="es-ES"/>
        </w:rPr>
      </w:pPr>
      <w:bookmarkStart w:id="79" w:name="_Toc104385044"/>
      <w:bookmarkStart w:id="80" w:name="_Toc211877971"/>
      <w:r w:rsidRPr="008F3AB1">
        <w:rPr>
          <w:rFonts w:eastAsiaTheme="minorEastAsia"/>
          <w:lang w:val="es-MX" w:eastAsia="es-ES"/>
        </w:rPr>
        <w:t>Manejo de aguas y drenajes</w:t>
      </w:r>
      <w:bookmarkEnd w:id="79"/>
      <w:bookmarkEnd w:id="80"/>
    </w:p>
    <w:p w14:paraId="61103B74" w14:textId="77777777" w:rsidR="00827A41" w:rsidRPr="008F3AB1" w:rsidRDefault="00827A41" w:rsidP="00827A41">
      <w:pPr>
        <w:rPr>
          <w:rFonts w:cs="Arial"/>
          <w:lang w:val="es-ES_tradnl" w:eastAsia="es-ES"/>
        </w:rPr>
      </w:pPr>
    </w:p>
    <w:p w14:paraId="46C5BA1D" w14:textId="77777777" w:rsidR="00827A41" w:rsidRPr="008F3AB1" w:rsidRDefault="00827A41" w:rsidP="00827A41">
      <w:pPr>
        <w:rPr>
          <w:rFonts w:cs="Arial"/>
        </w:rPr>
      </w:pPr>
      <w:r w:rsidRPr="008F3AB1">
        <w:rPr>
          <w:rFonts w:cs="Arial"/>
        </w:rPr>
        <w:t xml:space="preserve">En cuanto al manejo de </w:t>
      </w:r>
      <w:r w:rsidRPr="008F3AB1">
        <w:rPr>
          <w:rFonts w:cs="Arial"/>
          <w:b/>
          <w:bCs/>
          <w:i/>
          <w:iCs/>
        </w:rPr>
        <w:t>aguas lluvias y aguas de escorrentía</w:t>
      </w:r>
      <w:r w:rsidRPr="008F3AB1">
        <w:rPr>
          <w:rFonts w:cs="Arial"/>
        </w:rPr>
        <w:t xml:space="preserve"> a escala predial, la autoridad ambiental en el marco de los permisos, licencias y conceciones debe recomendar al productor y verificar las siguientes medidas acordes con las condiciones particulares del predio objeto de producción, con el fin de prevenir y controlar la erosión, así como la formación de cárcavas, zanjas o canales, deslizamientos, movimientos en masa:</w:t>
      </w:r>
    </w:p>
    <w:p w14:paraId="2A81D6BC" w14:textId="77777777" w:rsidR="00827A41" w:rsidRPr="008F3AB1" w:rsidRDefault="00827A41" w:rsidP="005306CE">
      <w:pPr>
        <w:pStyle w:val="Prrafodelista"/>
        <w:widowControl/>
        <w:numPr>
          <w:ilvl w:val="0"/>
          <w:numId w:val="2"/>
        </w:numPr>
        <w:adjustRightInd w:val="0"/>
        <w:contextualSpacing/>
        <w:rPr>
          <w:lang w:val="es-MX"/>
        </w:rPr>
      </w:pPr>
      <w:r w:rsidRPr="008F3AB1">
        <w:rPr>
          <w:lang w:val="es-MX" w:eastAsia="es-CO"/>
        </w:rPr>
        <w:t xml:space="preserve">Realizar la conducción correcta de aguas de escorrentía hasta un drenaje natural, con previo tratamiento primario para reducir la carga contaminante derivada del uso de fertilizantes o plaguicidas en el cultivo de aguacate. </w:t>
      </w:r>
    </w:p>
    <w:p w14:paraId="5217A8DC" w14:textId="77777777" w:rsidR="00827A41" w:rsidRPr="008F3AB1" w:rsidRDefault="00827A41" w:rsidP="005306CE">
      <w:pPr>
        <w:pStyle w:val="Prrafodelista"/>
        <w:widowControl/>
        <w:numPr>
          <w:ilvl w:val="0"/>
          <w:numId w:val="2"/>
        </w:numPr>
        <w:adjustRightInd w:val="0"/>
        <w:contextualSpacing/>
        <w:rPr>
          <w:lang w:val="es-MX"/>
        </w:rPr>
      </w:pPr>
      <w:r w:rsidRPr="008F3AB1">
        <w:rPr>
          <w:color w:val="000000"/>
          <w:lang w:val="es-MX" w:eastAsia="es-CO"/>
        </w:rPr>
        <w:t>En caso de existir obras de estabilización y protección en el entorno, estas deben ser conservadas.</w:t>
      </w:r>
    </w:p>
    <w:p w14:paraId="70B5F375" w14:textId="77777777" w:rsidR="00827A41" w:rsidRPr="008F3AB1" w:rsidRDefault="00827A41" w:rsidP="005306CE">
      <w:pPr>
        <w:pStyle w:val="Prrafodelista"/>
        <w:widowControl/>
        <w:numPr>
          <w:ilvl w:val="0"/>
          <w:numId w:val="2"/>
        </w:numPr>
        <w:adjustRightInd w:val="0"/>
        <w:contextualSpacing/>
        <w:rPr>
          <w:lang w:val="es-MX"/>
        </w:rPr>
      </w:pPr>
      <w:r w:rsidRPr="008F3AB1">
        <w:rPr>
          <w:lang w:val="es-MX"/>
        </w:rPr>
        <w:t xml:space="preserve">No autorizar la obstrucción y cerramiento de vías, cunetas y cajas colectoras de agua de las carreteras. </w:t>
      </w:r>
    </w:p>
    <w:p w14:paraId="0F49D328" w14:textId="77777777" w:rsidR="00827A41" w:rsidRPr="008F3AB1" w:rsidRDefault="00827A41" w:rsidP="005306CE">
      <w:pPr>
        <w:pStyle w:val="Prrafodelista"/>
        <w:widowControl/>
        <w:numPr>
          <w:ilvl w:val="0"/>
          <w:numId w:val="2"/>
        </w:numPr>
        <w:adjustRightInd w:val="0"/>
        <w:contextualSpacing/>
        <w:rPr>
          <w:lang w:val="es-MX"/>
        </w:rPr>
      </w:pPr>
      <w:r w:rsidRPr="008F3AB1">
        <w:rPr>
          <w:lang w:val="es-MX"/>
        </w:rPr>
        <w:t xml:space="preserve">No autorizar la construcción embalses, represas, estructuras de derivación, tomas de acueductos veredales para uso humano u otro que impida la libre circulación de los caudales, de nacimientos, quebradas, caños, ríos y otras corrientes lénticas y loticas. </w:t>
      </w:r>
    </w:p>
    <w:p w14:paraId="1E365E8E" w14:textId="77777777" w:rsidR="00827A41" w:rsidRPr="008F3AB1" w:rsidRDefault="00827A41" w:rsidP="005306CE">
      <w:pPr>
        <w:pStyle w:val="Prrafodelista"/>
        <w:widowControl/>
        <w:numPr>
          <w:ilvl w:val="0"/>
          <w:numId w:val="2"/>
        </w:numPr>
        <w:adjustRightInd w:val="0"/>
        <w:contextualSpacing/>
        <w:rPr>
          <w:lang w:val="es-MX"/>
        </w:rPr>
      </w:pPr>
      <w:r w:rsidRPr="008F3AB1">
        <w:rPr>
          <w:lang w:val="es-MX"/>
        </w:rPr>
        <w:t>No desviar ni taponar caños o desagües.</w:t>
      </w:r>
    </w:p>
    <w:p w14:paraId="26D629D5" w14:textId="77777777" w:rsidR="00827A41" w:rsidRPr="008F3AB1" w:rsidRDefault="00827A41" w:rsidP="005306CE">
      <w:pPr>
        <w:pStyle w:val="Prrafodelista"/>
        <w:widowControl/>
        <w:numPr>
          <w:ilvl w:val="0"/>
          <w:numId w:val="2"/>
        </w:numPr>
        <w:adjustRightInd w:val="0"/>
        <w:contextualSpacing/>
        <w:rPr>
          <w:strike/>
          <w:lang w:val="es-MX"/>
        </w:rPr>
      </w:pPr>
      <w:r w:rsidRPr="008F3AB1">
        <w:rPr>
          <w:strike/>
          <w:lang w:val="es-MX"/>
        </w:rPr>
        <w:t>Proteger con coberturas vegetales nativas aquellos sitios por donde son evacuadas las aguas de escorrentía provenientes de cajas colectoras de las carreteras.</w:t>
      </w:r>
    </w:p>
    <w:p w14:paraId="010F855B" w14:textId="77777777" w:rsidR="00827A41" w:rsidRPr="008F3AB1" w:rsidRDefault="00827A41" w:rsidP="005306CE">
      <w:pPr>
        <w:pStyle w:val="Prrafodelista"/>
        <w:widowControl/>
        <w:numPr>
          <w:ilvl w:val="0"/>
          <w:numId w:val="2"/>
        </w:numPr>
        <w:adjustRightInd w:val="0"/>
        <w:contextualSpacing/>
        <w:rPr>
          <w:lang w:val="es-MX"/>
        </w:rPr>
      </w:pPr>
      <w:r w:rsidRPr="008F3AB1">
        <w:rPr>
          <w:color w:val="000000" w:themeColor="text1"/>
          <w:lang w:val="es-MX" w:eastAsia="es-CO"/>
        </w:rPr>
        <w:t>Seleccionar obras biomecánicas de acuerdo con el uso del suelo, ya sean de tipo agrícola, pecuarios, forestales y de conservación, que promuevan la adecuada gestión del agua acorde con el grado de erosión, al área disponible para realizar la obra biomecánica y las principales necesidades del beneficiario. (ejemplo: revegetalización de taludes, trinchos, terrazas y gaviones).</w:t>
      </w:r>
    </w:p>
    <w:p w14:paraId="4B7BB7A5" w14:textId="77777777" w:rsidR="00827A41" w:rsidRPr="008F3AB1" w:rsidRDefault="00827A41" w:rsidP="005306CE">
      <w:pPr>
        <w:numPr>
          <w:ilvl w:val="0"/>
          <w:numId w:val="2"/>
        </w:numPr>
        <w:autoSpaceDE w:val="0"/>
        <w:autoSpaceDN w:val="0"/>
        <w:adjustRightInd w:val="0"/>
        <w:spacing w:after="0"/>
        <w:ind w:left="720"/>
        <w:rPr>
          <w:rFonts w:cs="Arial"/>
          <w:color w:val="000000"/>
          <w:lang w:eastAsia="es-CO"/>
        </w:rPr>
      </w:pPr>
      <w:r w:rsidRPr="008F3AB1">
        <w:rPr>
          <w:rFonts w:cs="Arial"/>
          <w:color w:val="000000"/>
          <w:lang w:eastAsia="es-CO"/>
        </w:rPr>
        <w:t>Implementar la cosecha de aguas a través de canalización de los techos para llevarlas a un lugar seguro y protegido con vegetación densa, o amortiguar su golpe cubriendo el suelo con grava o césped.</w:t>
      </w:r>
    </w:p>
    <w:p w14:paraId="644108A3" w14:textId="77777777" w:rsidR="00827A41" w:rsidRPr="008F3AB1" w:rsidRDefault="00827A41" w:rsidP="005306CE">
      <w:pPr>
        <w:numPr>
          <w:ilvl w:val="0"/>
          <w:numId w:val="2"/>
        </w:numPr>
        <w:autoSpaceDE w:val="0"/>
        <w:autoSpaceDN w:val="0"/>
        <w:adjustRightInd w:val="0"/>
        <w:spacing w:after="0"/>
        <w:ind w:left="720"/>
        <w:rPr>
          <w:rFonts w:cs="Arial"/>
          <w:color w:val="000000"/>
          <w:lang w:eastAsia="es-CO"/>
        </w:rPr>
      </w:pPr>
      <w:r w:rsidRPr="008F3AB1">
        <w:rPr>
          <w:rFonts w:cs="Arial"/>
          <w:color w:val="000000"/>
          <w:lang w:eastAsia="es-CO"/>
        </w:rPr>
        <w:lastRenderedPageBreak/>
        <w:t xml:space="preserve">Tratar las aguas domésticas de las viviendas asociadas al cultivo, previo a su disposición final sea a un cuerpo de agua natural o por infiltración al suelo. </w:t>
      </w:r>
    </w:p>
    <w:p w14:paraId="2DF53666" w14:textId="77777777" w:rsidR="00827A41" w:rsidRPr="008F3AB1" w:rsidRDefault="00827A41" w:rsidP="005306CE">
      <w:pPr>
        <w:numPr>
          <w:ilvl w:val="0"/>
          <w:numId w:val="2"/>
        </w:numPr>
        <w:autoSpaceDE w:val="0"/>
        <w:autoSpaceDN w:val="0"/>
        <w:adjustRightInd w:val="0"/>
        <w:spacing w:after="0"/>
        <w:ind w:left="720"/>
        <w:rPr>
          <w:rFonts w:cs="Arial"/>
          <w:color w:val="000000"/>
          <w:lang w:eastAsia="es-CO"/>
        </w:rPr>
      </w:pPr>
      <w:r w:rsidRPr="008F3AB1">
        <w:rPr>
          <w:rFonts w:cs="Arial"/>
          <w:color w:val="000000" w:themeColor="text1"/>
          <w:lang w:eastAsia="es-CO"/>
        </w:rPr>
        <w:t>Revisar los sistemas de conducción de agua y hacer su mantenimiento continuo.</w:t>
      </w:r>
    </w:p>
    <w:p w14:paraId="3334B116" w14:textId="77777777" w:rsidR="00827A41" w:rsidRPr="008F3AB1" w:rsidRDefault="00827A41" w:rsidP="005306CE">
      <w:pPr>
        <w:pStyle w:val="Prrafodelista"/>
        <w:widowControl/>
        <w:numPr>
          <w:ilvl w:val="0"/>
          <w:numId w:val="2"/>
        </w:numPr>
        <w:autoSpaceDE/>
        <w:autoSpaceDN/>
        <w:spacing w:after="160"/>
        <w:ind w:left="720"/>
        <w:contextualSpacing/>
        <w:rPr>
          <w:color w:val="000000"/>
          <w:lang w:val="es-MX" w:eastAsia="es-CO"/>
        </w:rPr>
      </w:pPr>
      <w:r w:rsidRPr="008F3AB1">
        <w:rPr>
          <w:color w:val="000000"/>
          <w:lang w:val="es-MX" w:eastAsia="es-CO"/>
        </w:rPr>
        <w:t>Monitorear constantemente los tanques de almacenamiento de agua, fosas y pozos, asegurándose que no existan filtraciones o reboses.</w:t>
      </w:r>
    </w:p>
    <w:p w14:paraId="077A5E28" w14:textId="77777777" w:rsidR="00827A41" w:rsidRPr="008F3AB1" w:rsidRDefault="00827A41" w:rsidP="005306CE">
      <w:pPr>
        <w:pStyle w:val="Ttulo1"/>
        <w:keepNext/>
        <w:keepLines/>
        <w:widowControl/>
        <w:numPr>
          <w:ilvl w:val="3"/>
          <w:numId w:val="43"/>
        </w:numPr>
        <w:autoSpaceDE/>
        <w:autoSpaceDN/>
        <w:spacing w:before="240"/>
        <w:rPr>
          <w:rFonts w:eastAsiaTheme="minorEastAsia"/>
          <w:lang w:val="es-MX" w:eastAsia="es-ES"/>
        </w:rPr>
      </w:pPr>
      <w:bookmarkStart w:id="81" w:name="_Toc104385045"/>
      <w:bookmarkStart w:id="82" w:name="_Toc211877972"/>
      <w:r w:rsidRPr="008F3AB1">
        <w:rPr>
          <w:rFonts w:eastAsiaTheme="minorEastAsia"/>
          <w:lang w:val="es-MX" w:eastAsia="es-ES"/>
        </w:rPr>
        <w:t>Manejo del suelo, fertilización y riego</w:t>
      </w:r>
      <w:bookmarkEnd w:id="81"/>
      <w:bookmarkEnd w:id="82"/>
    </w:p>
    <w:p w14:paraId="7C7ACABE" w14:textId="77777777" w:rsidR="00827A41" w:rsidRPr="008F3AB1" w:rsidRDefault="00827A41" w:rsidP="00827A41">
      <w:pPr>
        <w:autoSpaceDE w:val="0"/>
        <w:autoSpaceDN w:val="0"/>
        <w:adjustRightInd w:val="0"/>
        <w:spacing w:after="0"/>
        <w:rPr>
          <w:rFonts w:cs="Arial"/>
        </w:rPr>
      </w:pPr>
    </w:p>
    <w:p w14:paraId="0DC0CD4B" w14:textId="77777777" w:rsidR="00827A41" w:rsidRPr="008F3AB1" w:rsidRDefault="00827A41" w:rsidP="00827A41">
      <w:pPr>
        <w:autoSpaceDE w:val="0"/>
        <w:autoSpaceDN w:val="0"/>
        <w:adjustRightInd w:val="0"/>
        <w:spacing w:after="0"/>
        <w:rPr>
          <w:rFonts w:cs="Arial"/>
        </w:rPr>
      </w:pPr>
      <w:r w:rsidRPr="008F3AB1">
        <w:rPr>
          <w:rFonts w:cs="Arial"/>
        </w:rPr>
        <w:t>Una gestión adecuada del suelo constituye un factor esencial en la agricultura sostenible y proporciona también un resorte valioso para regular el clima y salvaguardar los servicios ecosistémicos y la biodiversidad. Los suelos saludables son un requisito previo básico para satisfacer las diversas necesidades de alimentos, biomasa (energía), fibra, forraje y otros productos, y para garantizar la prestación de los servicios ecosistémicos esenciales en todas las regiones del mundo (FAO, 2015ª).</w:t>
      </w:r>
    </w:p>
    <w:p w14:paraId="389069DF" w14:textId="77777777" w:rsidR="00827A41" w:rsidRPr="008F3AB1" w:rsidRDefault="00827A41" w:rsidP="00827A41">
      <w:pPr>
        <w:pStyle w:val="pf0"/>
        <w:rPr>
          <w:rFonts w:ascii="Arial" w:eastAsiaTheme="minorEastAsia" w:hAnsi="Arial" w:cs="Arial"/>
          <w:sz w:val="22"/>
          <w:szCs w:val="22"/>
          <w:lang w:val="es-ES" w:eastAsia="en-US"/>
        </w:rPr>
      </w:pPr>
      <w:r w:rsidRPr="008F3AB1">
        <w:rPr>
          <w:rFonts w:ascii="Arial" w:eastAsiaTheme="minorEastAsia" w:hAnsi="Arial" w:cs="Arial"/>
          <w:sz w:val="22"/>
          <w:szCs w:val="22"/>
          <w:lang w:val="es-ES" w:eastAsia="en-US"/>
        </w:rPr>
        <w:t xml:space="preserve">Por lo anterior, la autoridad ambiental territorial debe orientar al productor para que conozca previamente el requerimiento nutricional de los cultivos, a fin de que establezca planes integrales de fertilización a partir del análisis fisicoquímico del suelo, este debe ser realizado por una entidad reconocida, para así evitar la aplicación de excedentes de fertilizantes que puedan contaminar al ambiente y el suelo, y la producción de gases de efecto invernadero. </w:t>
      </w:r>
    </w:p>
    <w:p w14:paraId="173A6F9F" w14:textId="77777777" w:rsidR="00827A41" w:rsidRPr="008F3AB1" w:rsidRDefault="00827A41" w:rsidP="00827A41">
      <w:pPr>
        <w:pStyle w:val="pf0"/>
        <w:rPr>
          <w:rFonts w:ascii="Arial" w:eastAsiaTheme="minorEastAsia" w:hAnsi="Arial" w:cs="Arial"/>
          <w:sz w:val="22"/>
          <w:szCs w:val="22"/>
          <w:lang w:val="es-ES" w:eastAsia="en-US"/>
        </w:rPr>
      </w:pPr>
      <w:r w:rsidRPr="008F3AB1">
        <w:rPr>
          <w:rFonts w:ascii="Arial" w:eastAsiaTheme="minorEastAsia" w:hAnsi="Arial" w:cs="Arial"/>
          <w:strike/>
          <w:sz w:val="22"/>
          <w:szCs w:val="22"/>
          <w:lang w:val="es-ES" w:eastAsia="en-US"/>
        </w:rPr>
        <w:t>En este sentido, la Corporación Autónoma Regional y de Desarrollo Sostenible verificar la existencia del plan de fertilización del cultivo, validado por un ingeniero agrónomo bajo el principio de precaución, enfocado en que la práctica no genere impacto en los componentes ambientales.</w:t>
      </w:r>
      <w:r w:rsidRPr="008F3AB1">
        <w:rPr>
          <w:rFonts w:ascii="Arial" w:eastAsiaTheme="minorEastAsia" w:hAnsi="Arial" w:cs="Arial"/>
          <w:sz w:val="22"/>
          <w:szCs w:val="22"/>
          <w:lang w:val="es-ES" w:eastAsia="en-US"/>
        </w:rPr>
        <w:t xml:space="preserve"> En este sentido autoridad ambiental territorial, debe verificar la existencia del plan de fertilización del cultivo, elaborado por un profesional idóneo, bajo el principio de precaución, enfocado en que la práctica no genere una degradación irreversible en la escala de tiempo humana de los recursos naturales.</w:t>
      </w:r>
    </w:p>
    <w:p w14:paraId="37D8F7E9" w14:textId="77777777" w:rsidR="00827A41" w:rsidRPr="008F3AB1" w:rsidRDefault="00827A41" w:rsidP="00827A41">
      <w:pPr>
        <w:spacing w:after="0"/>
        <w:rPr>
          <w:rFonts w:cs="Arial"/>
          <w:strike/>
        </w:rPr>
      </w:pPr>
      <w:r w:rsidRPr="008F3AB1">
        <w:rPr>
          <w:rFonts w:cs="Arial"/>
          <w:strike/>
        </w:rPr>
        <w:t xml:space="preserve">ComoComo practicas derivadas de la política ambiental de Gestión Sostenible del Suelo, para la conservación del suelo rural agropecuario, es necesario que la Corporación indique al productor que debe: </w:t>
      </w:r>
    </w:p>
    <w:p w14:paraId="19AB749F" w14:textId="77777777" w:rsidR="00827A41" w:rsidRPr="008F3AB1" w:rsidRDefault="00827A41" w:rsidP="00827A41">
      <w:pPr>
        <w:spacing w:after="0"/>
        <w:rPr>
          <w:rFonts w:cs="Arial"/>
          <w:strike/>
        </w:rPr>
      </w:pPr>
    </w:p>
    <w:p w14:paraId="61A5BC78" w14:textId="77777777" w:rsidR="00827A41" w:rsidRPr="008F3AB1" w:rsidRDefault="00827A41" w:rsidP="00827A41">
      <w:pPr>
        <w:spacing w:after="0"/>
        <w:rPr>
          <w:rFonts w:cs="Arial"/>
          <w:strike/>
        </w:rPr>
      </w:pPr>
      <w:r w:rsidRPr="008F3AB1">
        <w:rPr>
          <w:rFonts w:cs="Arial"/>
          <w:strike/>
        </w:rPr>
        <w:t>1.</w:t>
      </w:r>
      <w:r w:rsidRPr="008F3AB1">
        <w:rPr>
          <w:rFonts w:cs="Arial"/>
          <w:strike/>
        </w:rPr>
        <w:tab/>
        <w:t>Fertilizar cultivos agrícolas con resultados de análisis de suelos, según las necesidades del cultivo y las propiedades de los suelos donde se establezca el aguacate.</w:t>
      </w:r>
    </w:p>
    <w:p w14:paraId="2E3C3717" w14:textId="77777777" w:rsidR="00827A41" w:rsidRPr="008F3AB1" w:rsidRDefault="00827A41" w:rsidP="00827A41">
      <w:pPr>
        <w:spacing w:after="0"/>
        <w:rPr>
          <w:rFonts w:cs="Arial"/>
          <w:strike/>
        </w:rPr>
      </w:pPr>
      <w:r w:rsidRPr="008F3AB1">
        <w:rPr>
          <w:rFonts w:cs="Arial"/>
          <w:strike/>
        </w:rPr>
        <w:t>2.</w:t>
      </w:r>
      <w:r w:rsidRPr="008F3AB1">
        <w:rPr>
          <w:rFonts w:cs="Arial"/>
          <w:strike/>
        </w:rPr>
        <w:tab/>
        <w:t>Desarrollar prácticas de siembra y manejo de pendientes, que contribuyan a minimizar la degradación del suelo por erosión.</w:t>
      </w:r>
    </w:p>
    <w:p w14:paraId="571A2B9F" w14:textId="77777777" w:rsidR="00827A41" w:rsidRPr="008F3AB1" w:rsidRDefault="00827A41" w:rsidP="00827A41">
      <w:pPr>
        <w:spacing w:after="0"/>
        <w:rPr>
          <w:rFonts w:cs="Arial"/>
          <w:strike/>
        </w:rPr>
      </w:pPr>
      <w:r w:rsidRPr="008F3AB1">
        <w:rPr>
          <w:rFonts w:cs="Arial"/>
          <w:strike/>
        </w:rPr>
        <w:t>3.</w:t>
      </w:r>
      <w:r w:rsidRPr="008F3AB1">
        <w:rPr>
          <w:rFonts w:cs="Arial"/>
          <w:strike/>
        </w:rPr>
        <w:tab/>
        <w:t>Realizar un uso eficiente de insumos agropecuarios, promoviendo la circularidad en la cadena de valor, mediante el compostaje y la adecuada gestión de residuos sólidos y líquidos de la producción..</w:t>
      </w:r>
    </w:p>
    <w:p w14:paraId="22084A6E" w14:textId="77777777" w:rsidR="00827A41" w:rsidRPr="008F3AB1" w:rsidRDefault="00827A41" w:rsidP="00827A41">
      <w:pPr>
        <w:spacing w:after="0"/>
        <w:rPr>
          <w:rFonts w:cs="Arial"/>
          <w:strike/>
        </w:rPr>
      </w:pPr>
    </w:p>
    <w:p w14:paraId="331C255E" w14:textId="77777777" w:rsidR="00827A41" w:rsidRPr="008F3AB1" w:rsidRDefault="00827A41" w:rsidP="00827A41">
      <w:pPr>
        <w:spacing w:after="0"/>
        <w:rPr>
          <w:rFonts w:cs="Arial"/>
        </w:rPr>
      </w:pPr>
      <w:r w:rsidRPr="008F3AB1">
        <w:rPr>
          <w:rFonts w:cs="Arial"/>
        </w:rPr>
        <w:t>Considerando lo establecido en la Política para la Gestión Sostenible del Suelo, específicamente en la línea estratégica 6, denominada "Preservación, restauración y uso sostenible del suelo", que busca el mantenimiento de las múltiples funciones del suelo a través del conocimiento, el manejo y el uso sostenible de éste, con el fin de prevenir la degradación del mismo, es necesario que las autoridades ambientales territoriales socialicen y capaciten con el productor sobre buenas prácticas agrícolas ambientales sostenibles, como lo son:</w:t>
      </w:r>
    </w:p>
    <w:p w14:paraId="59D264F5" w14:textId="77777777" w:rsidR="00827A41" w:rsidRPr="008F3AB1" w:rsidRDefault="00827A41" w:rsidP="00827A41">
      <w:pPr>
        <w:spacing w:after="0"/>
        <w:rPr>
          <w:rFonts w:cs="Arial"/>
        </w:rPr>
      </w:pPr>
    </w:p>
    <w:p w14:paraId="7777F4BA" w14:textId="77777777" w:rsidR="00827A41" w:rsidRPr="008F3AB1" w:rsidRDefault="00827A41" w:rsidP="00827A41">
      <w:pPr>
        <w:spacing w:after="0"/>
        <w:rPr>
          <w:rFonts w:cs="Arial"/>
        </w:rPr>
      </w:pPr>
      <w:r w:rsidRPr="008F3AB1">
        <w:rPr>
          <w:rFonts w:cs="Arial"/>
        </w:rPr>
        <w:t>1. Usar el suelo de acuerdo con sus condiciones y factores constitutivos, manteniendo su integridad física y su capacidad productora. Esto debe hacerse conforme a la clasificación agrológica del IGAC y las recomendaciones del Ministerio de Agricultura y Desarrollo Rural, UPRA, ICA, ADR y el Ministerio de Ambiente y Desarrollo Sostenible, entre otros.</w:t>
      </w:r>
    </w:p>
    <w:p w14:paraId="4FF468B9" w14:textId="77777777" w:rsidR="00827A41" w:rsidRPr="008F3AB1" w:rsidRDefault="00827A41" w:rsidP="00827A41">
      <w:pPr>
        <w:spacing w:after="0"/>
        <w:rPr>
          <w:rFonts w:cs="Arial"/>
        </w:rPr>
      </w:pPr>
      <w:r w:rsidRPr="008F3AB1">
        <w:rPr>
          <w:rFonts w:cs="Arial"/>
        </w:rPr>
        <w:t>2. Fertilizar el cultivo según las necesidades y propiedades del suelo donde se establezca, con base en los resultados del análisis físico y químico del suelo, para reducir la contaminación por excesos de agroquímicos.</w:t>
      </w:r>
    </w:p>
    <w:p w14:paraId="6E62636F" w14:textId="77777777" w:rsidR="00827A41" w:rsidRPr="008F3AB1" w:rsidRDefault="00827A41" w:rsidP="00827A41">
      <w:pPr>
        <w:spacing w:after="0"/>
        <w:rPr>
          <w:rFonts w:cs="Arial"/>
        </w:rPr>
      </w:pPr>
      <w:r w:rsidRPr="008F3AB1">
        <w:rPr>
          <w:rFonts w:cs="Arial"/>
        </w:rPr>
        <w:t xml:space="preserve">3. Implementar barreras vivas en contorno de la pendiente o siguiendo las curvas de nivel para reducir la escorrentía, por ejemplo, con especies nativas o leguminosas. </w:t>
      </w:r>
    </w:p>
    <w:p w14:paraId="4F8D9E8C" w14:textId="77777777" w:rsidR="00827A41" w:rsidRPr="008F3AB1" w:rsidRDefault="00827A41" w:rsidP="00827A41">
      <w:pPr>
        <w:spacing w:after="0"/>
        <w:rPr>
          <w:rFonts w:cs="Arial"/>
        </w:rPr>
      </w:pPr>
      <w:r w:rsidRPr="008F3AB1">
        <w:rPr>
          <w:rFonts w:cs="Arial"/>
        </w:rPr>
        <w:t>4. Construir zanjas de infiltración, terrazas o acequias en laderas según el grado de pendiente.</w:t>
      </w:r>
    </w:p>
    <w:p w14:paraId="07083934" w14:textId="77777777" w:rsidR="00827A41" w:rsidRPr="008F3AB1" w:rsidRDefault="00827A41" w:rsidP="00827A41">
      <w:pPr>
        <w:spacing w:after="0"/>
        <w:rPr>
          <w:rFonts w:cs="Arial"/>
        </w:rPr>
      </w:pPr>
      <w:r w:rsidRPr="008F3AB1">
        <w:rPr>
          <w:rFonts w:cs="Arial"/>
        </w:rPr>
        <w:t>5. Evitar el establecimiento del cultivo en zonas con pendientes mayores al 45%, donde el riesgo de erosión y deslizamiento es alto.</w:t>
      </w:r>
    </w:p>
    <w:p w14:paraId="61873949" w14:textId="77777777" w:rsidR="00827A41" w:rsidRPr="008F3AB1" w:rsidRDefault="00827A41" w:rsidP="00827A41">
      <w:pPr>
        <w:spacing w:after="0"/>
        <w:rPr>
          <w:rFonts w:cs="Arial"/>
        </w:rPr>
      </w:pPr>
      <w:r w:rsidRPr="008F3AB1">
        <w:rPr>
          <w:rFonts w:cs="Arial"/>
        </w:rPr>
        <w:t>6. Promover la adecuada gestión de residuos sólidos y líquidos de la producción.</w:t>
      </w:r>
    </w:p>
    <w:p w14:paraId="1BAD849B" w14:textId="77777777" w:rsidR="00827A41" w:rsidRPr="008F3AB1" w:rsidRDefault="00827A41" w:rsidP="00827A41">
      <w:pPr>
        <w:spacing w:after="0"/>
        <w:rPr>
          <w:rFonts w:cs="Arial"/>
        </w:rPr>
      </w:pPr>
      <w:r w:rsidRPr="008F3AB1">
        <w:rPr>
          <w:rFonts w:cs="Arial"/>
        </w:rPr>
        <w:t xml:space="preserve">7. Mantener coberturas vegetales permanentes en el suelo, como mulch, pastos, cultivos de cobertura o residuos de poda, entre otros. </w:t>
      </w:r>
    </w:p>
    <w:p w14:paraId="6AC4F50A" w14:textId="77777777" w:rsidR="00827A41" w:rsidRPr="008F3AB1" w:rsidRDefault="00827A41" w:rsidP="00827A41">
      <w:pPr>
        <w:spacing w:after="0"/>
        <w:rPr>
          <w:rFonts w:cs="Arial"/>
        </w:rPr>
      </w:pPr>
      <w:r w:rsidRPr="008F3AB1">
        <w:rPr>
          <w:rFonts w:cs="Arial"/>
        </w:rPr>
        <w:t xml:space="preserve">8. Incorporar abonos orgánicos y compostaje autorizados para mejorar la estructura y fertilidad del suelo. </w:t>
      </w:r>
    </w:p>
    <w:p w14:paraId="20F96C75" w14:textId="77777777" w:rsidR="00827A41" w:rsidRPr="008F3AB1" w:rsidRDefault="00827A41" w:rsidP="00827A41">
      <w:pPr>
        <w:spacing w:after="0"/>
        <w:rPr>
          <w:rFonts w:cs="Arial"/>
        </w:rPr>
      </w:pPr>
      <w:r w:rsidRPr="008F3AB1">
        <w:rPr>
          <w:rFonts w:cs="Arial"/>
        </w:rPr>
        <w:t>9. Evitar la remoción intensiva de vegetación.</w:t>
      </w:r>
    </w:p>
    <w:p w14:paraId="1BC286AB" w14:textId="77777777" w:rsidR="00827A41" w:rsidRPr="008F3AB1" w:rsidRDefault="00827A41" w:rsidP="00827A41">
      <w:pPr>
        <w:spacing w:after="0"/>
        <w:rPr>
          <w:rFonts w:cs="Arial"/>
        </w:rPr>
      </w:pPr>
      <w:r w:rsidRPr="008F3AB1">
        <w:rPr>
          <w:rFonts w:cs="Arial"/>
        </w:rPr>
        <w:t>10. La quema de residuos está prohibida.</w:t>
      </w:r>
    </w:p>
    <w:p w14:paraId="10B51083" w14:textId="77777777" w:rsidR="00827A41" w:rsidRPr="008F3AB1" w:rsidRDefault="00827A41" w:rsidP="00827A41">
      <w:pPr>
        <w:spacing w:after="0"/>
        <w:rPr>
          <w:rFonts w:cs="Arial"/>
        </w:rPr>
      </w:pPr>
      <w:r w:rsidRPr="008F3AB1">
        <w:rPr>
          <w:rFonts w:cs="Arial"/>
        </w:rPr>
        <w:t xml:space="preserve">11. Promover el uso de sistemas de riego eficientes para optimizar el uso del agua y reducir pérdidas. </w:t>
      </w:r>
    </w:p>
    <w:p w14:paraId="0D472285" w14:textId="77777777" w:rsidR="00827A41" w:rsidRPr="008F3AB1" w:rsidRDefault="00827A41" w:rsidP="00827A41">
      <w:pPr>
        <w:spacing w:after="0"/>
        <w:rPr>
          <w:rFonts w:cs="Arial"/>
        </w:rPr>
      </w:pPr>
      <w:r w:rsidRPr="008F3AB1">
        <w:rPr>
          <w:rFonts w:cs="Arial"/>
        </w:rPr>
        <w:t xml:space="preserve">12. Proteger nacederos, quebradas y rondas hídricas con franjas de vegetación natural. </w:t>
      </w:r>
    </w:p>
    <w:p w14:paraId="7D04133E" w14:textId="77777777" w:rsidR="00827A41" w:rsidRPr="008F3AB1" w:rsidRDefault="00827A41" w:rsidP="00827A41">
      <w:pPr>
        <w:spacing w:after="0"/>
        <w:rPr>
          <w:rFonts w:cs="Arial"/>
        </w:rPr>
      </w:pPr>
      <w:r w:rsidRPr="008F3AB1">
        <w:rPr>
          <w:rFonts w:cs="Arial"/>
        </w:rPr>
        <w:t xml:space="preserve">13. Implementar zanjas de infiltración y reservorios para almacenamiento y recarga hídrica. </w:t>
      </w:r>
    </w:p>
    <w:p w14:paraId="206323F1" w14:textId="77777777" w:rsidR="00827A41" w:rsidRPr="008F3AB1" w:rsidRDefault="00827A41" w:rsidP="00827A41">
      <w:pPr>
        <w:spacing w:after="0"/>
        <w:rPr>
          <w:rFonts w:cs="Arial"/>
        </w:rPr>
      </w:pPr>
      <w:r w:rsidRPr="008F3AB1">
        <w:rPr>
          <w:rFonts w:cs="Arial"/>
        </w:rPr>
        <w:t>14. Hacer uso eficiente de los insumos agropecuarios. (Según el requerimiento y recomendación técnica).</w:t>
      </w:r>
    </w:p>
    <w:p w14:paraId="1666961E" w14:textId="77777777" w:rsidR="00827A41" w:rsidRPr="008F3AB1" w:rsidRDefault="00827A41" w:rsidP="00827A41">
      <w:pPr>
        <w:spacing w:after="0"/>
        <w:rPr>
          <w:rFonts w:cs="Arial"/>
        </w:rPr>
      </w:pPr>
      <w:r w:rsidRPr="008F3AB1">
        <w:rPr>
          <w:rFonts w:cs="Arial"/>
        </w:rPr>
        <w:t>15. Evaluar la implementación de sistemas agroforestales.</w:t>
      </w:r>
    </w:p>
    <w:p w14:paraId="7899ADE6" w14:textId="77777777" w:rsidR="00827A41" w:rsidRPr="008F3AB1" w:rsidRDefault="00827A41" w:rsidP="00827A41">
      <w:pPr>
        <w:autoSpaceDE w:val="0"/>
        <w:autoSpaceDN w:val="0"/>
        <w:adjustRightInd w:val="0"/>
        <w:spacing w:after="0"/>
        <w:rPr>
          <w:rFonts w:cs="Arial"/>
        </w:rPr>
      </w:pPr>
    </w:p>
    <w:p w14:paraId="3AB148D1" w14:textId="77777777" w:rsidR="00827A41" w:rsidRPr="008F3AB1" w:rsidRDefault="00827A41" w:rsidP="00827A41">
      <w:pPr>
        <w:autoSpaceDE w:val="0"/>
        <w:autoSpaceDN w:val="0"/>
        <w:adjustRightInd w:val="0"/>
        <w:spacing w:after="0"/>
        <w:rPr>
          <w:rFonts w:cs="Arial"/>
        </w:rPr>
      </w:pPr>
      <w:r w:rsidRPr="008F3AB1">
        <w:rPr>
          <w:rFonts w:cs="Arial"/>
        </w:rPr>
        <w:t>En el caso de que el productor utilice sistemas de riego y fertirriego</w:t>
      </w:r>
      <w:r w:rsidRPr="008F3AB1">
        <w:rPr>
          <w:rStyle w:val="Refdenotaalpie"/>
          <w:rFonts w:cs="Arial"/>
        </w:rPr>
        <w:footnoteReference w:id="4"/>
      </w:r>
      <w:r w:rsidRPr="008F3AB1">
        <w:rPr>
          <w:rFonts w:cs="Arial"/>
        </w:rPr>
        <w:t xml:space="preserve">, la autoridad ambiental puede recomendar que los volúmenes de agua deben basarse en el balance hídrico del cultivo, para evitar pérdida, desperdicio y exceso de agua, para lo cual se deben conocer las necesidades hídricas del cultivo. Asimismo, emplear métodos para determinar el volumen de agua que se usa en el sistema y realizar el mantenimiento correspondiente para evitar pérdidas y desperdicios de agua, no se podrá construir ningún sistema de captación y riego sien el previo cumplimiento de estos requisitos y verificados por las autoridades ambientales competentes. </w:t>
      </w:r>
    </w:p>
    <w:p w14:paraId="3E4341EF" w14:textId="77777777" w:rsidR="00827A41" w:rsidRPr="008F3AB1" w:rsidRDefault="00827A41" w:rsidP="00827A41">
      <w:pPr>
        <w:autoSpaceDE w:val="0"/>
        <w:autoSpaceDN w:val="0"/>
        <w:adjustRightInd w:val="0"/>
        <w:spacing w:after="0"/>
        <w:rPr>
          <w:rFonts w:cs="Arial"/>
        </w:rPr>
      </w:pPr>
    </w:p>
    <w:p w14:paraId="354536A8" w14:textId="77777777" w:rsidR="00827A41" w:rsidRPr="008F3AB1" w:rsidRDefault="00827A41" w:rsidP="00827A41">
      <w:pPr>
        <w:autoSpaceDE w:val="0"/>
        <w:autoSpaceDN w:val="0"/>
        <w:adjustRightInd w:val="0"/>
        <w:spacing w:after="0"/>
        <w:rPr>
          <w:rFonts w:cs="Arial"/>
        </w:rPr>
      </w:pPr>
      <w:r w:rsidRPr="008F3AB1">
        <w:rPr>
          <w:rFonts w:cs="Arial"/>
        </w:rPr>
        <w:t>Respecto del manejo de los fertilizantes (todas las fuentes), la autoridad ambiental puede recomendar al productor que se almacenen de forma adecuada para que no haya riesgo de contaminación al ecosistema. De igual manera, es apropiado que éstos no estén almacenados cerca de las fuentes de agua y aplicando los lineamientos para el manejo de elemento agroquímicos.</w:t>
      </w:r>
    </w:p>
    <w:p w14:paraId="2CC37194" w14:textId="77777777" w:rsidR="00553821" w:rsidRPr="008F3AB1" w:rsidRDefault="00553821" w:rsidP="00827A41">
      <w:pPr>
        <w:autoSpaceDE w:val="0"/>
        <w:autoSpaceDN w:val="0"/>
        <w:adjustRightInd w:val="0"/>
        <w:spacing w:after="0"/>
        <w:rPr>
          <w:rFonts w:cs="Arial"/>
        </w:rPr>
      </w:pPr>
    </w:p>
    <w:p w14:paraId="50886E2B" w14:textId="5ED1AC14" w:rsidR="00827A41" w:rsidRPr="008F3AB1" w:rsidRDefault="00827A41" w:rsidP="00827A41">
      <w:pPr>
        <w:autoSpaceDE w:val="0"/>
        <w:autoSpaceDN w:val="0"/>
        <w:adjustRightInd w:val="0"/>
        <w:spacing w:after="0"/>
        <w:rPr>
          <w:rFonts w:cs="Arial"/>
        </w:rPr>
      </w:pPr>
      <w:r w:rsidRPr="008F3AB1">
        <w:rPr>
          <w:rFonts w:cs="Arial"/>
        </w:rPr>
        <w:lastRenderedPageBreak/>
        <w:t>Los fertilizantes utilizados, deben ser obtenidos por medio de distribuidores/vendedores autorizados por la autoridad competente, esto aporta para mitigar el riesgo de aplicar productos a los cuales no se les realice controles de calidad, así como llevar a campo posibles contaminantes desconocidos.</w:t>
      </w:r>
    </w:p>
    <w:p w14:paraId="1CF753E5" w14:textId="77777777" w:rsidR="00827A41" w:rsidRPr="008F3AB1" w:rsidRDefault="00827A41" w:rsidP="00827A41">
      <w:pPr>
        <w:autoSpaceDE w:val="0"/>
        <w:autoSpaceDN w:val="0"/>
        <w:adjustRightInd w:val="0"/>
        <w:spacing w:after="0"/>
        <w:rPr>
          <w:rFonts w:cs="Arial"/>
        </w:rPr>
      </w:pPr>
    </w:p>
    <w:p w14:paraId="575A3DB9" w14:textId="77777777" w:rsidR="00827A41" w:rsidRPr="008F3AB1" w:rsidRDefault="00827A41" w:rsidP="00827A41">
      <w:pPr>
        <w:autoSpaceDE w:val="0"/>
        <w:autoSpaceDN w:val="0"/>
        <w:adjustRightInd w:val="0"/>
        <w:spacing w:after="0"/>
        <w:rPr>
          <w:rFonts w:cs="Arial"/>
        </w:rPr>
      </w:pPr>
      <w:r w:rsidRPr="008F3AB1">
        <w:rPr>
          <w:rFonts w:cs="Arial"/>
        </w:rPr>
        <w:t>Se recomienda la utilización de fertilizantes de origen orgánico certificados por el ICA, toda vez que ello conlleva al mejoramiento y conservación de la fauna y microfauna existentes, a fin de acoger la reglamentación nacional e internacional.</w:t>
      </w:r>
    </w:p>
    <w:p w14:paraId="3BFED1A0" w14:textId="77777777" w:rsidR="00827A41" w:rsidRPr="008F3AB1" w:rsidRDefault="00827A41" w:rsidP="00827A41">
      <w:pPr>
        <w:autoSpaceDE w:val="0"/>
        <w:autoSpaceDN w:val="0"/>
        <w:adjustRightInd w:val="0"/>
        <w:spacing w:after="0"/>
        <w:rPr>
          <w:rFonts w:cs="Arial"/>
        </w:rPr>
      </w:pPr>
    </w:p>
    <w:p w14:paraId="39BCC4C9" w14:textId="77777777" w:rsidR="00827A41" w:rsidRPr="008F3AB1" w:rsidRDefault="00827A41" w:rsidP="00827A41">
      <w:pPr>
        <w:rPr>
          <w:rFonts w:cs="Arial"/>
          <w:lang w:eastAsia="es-ES"/>
        </w:rPr>
      </w:pPr>
      <w:r w:rsidRPr="008F3AB1">
        <w:rPr>
          <w:rFonts w:cs="Arial"/>
          <w:lang w:eastAsia="es-ES"/>
        </w:rPr>
        <w:t xml:space="preserve">Respecto a la conservación del suelo rural, es importante lo establecido en el Decreto 1076 de 2015 </w:t>
      </w:r>
      <w:r w:rsidRPr="008F3AB1">
        <w:rPr>
          <w:rFonts w:cs="Arial"/>
          <w:color w:val="000000" w:themeColor="text1"/>
          <w:lang w:eastAsia="es-CO"/>
        </w:rPr>
        <w:t xml:space="preserve">Art. 2.2.1.1.18.6. Protección y conservación de suelos.  </w:t>
      </w:r>
    </w:p>
    <w:p w14:paraId="19D62ECF" w14:textId="77777777" w:rsidR="00827A41" w:rsidRPr="008F3AB1" w:rsidRDefault="00827A41" w:rsidP="005306CE">
      <w:pPr>
        <w:pStyle w:val="Ttulo1"/>
        <w:keepNext/>
        <w:keepLines/>
        <w:widowControl/>
        <w:numPr>
          <w:ilvl w:val="3"/>
          <w:numId w:val="43"/>
        </w:numPr>
        <w:autoSpaceDE/>
        <w:autoSpaceDN/>
        <w:spacing w:before="240"/>
        <w:rPr>
          <w:rFonts w:eastAsiaTheme="minorEastAsia"/>
          <w:lang w:val="es-MX" w:eastAsia="es-ES"/>
        </w:rPr>
      </w:pPr>
      <w:bookmarkStart w:id="83" w:name="_Toc104385046"/>
      <w:bookmarkStart w:id="84" w:name="_Toc211877973"/>
      <w:r w:rsidRPr="008F3AB1">
        <w:rPr>
          <w:rFonts w:eastAsiaTheme="minorEastAsia"/>
          <w:lang w:val="es-MX" w:eastAsia="es-ES"/>
        </w:rPr>
        <w:t>Manejo de Plaguicidas</w:t>
      </w:r>
      <w:bookmarkEnd w:id="83"/>
      <w:bookmarkEnd w:id="84"/>
    </w:p>
    <w:p w14:paraId="48CE823B" w14:textId="77777777" w:rsidR="00827A41" w:rsidRPr="008F3AB1" w:rsidRDefault="00827A41" w:rsidP="00827A41">
      <w:pPr>
        <w:pStyle w:val="Prrafodelista"/>
        <w:adjustRightInd w:val="0"/>
        <w:spacing w:line="276" w:lineRule="auto"/>
        <w:ind w:left="360"/>
        <w:rPr>
          <w:b/>
          <w:bCs/>
        </w:rPr>
      </w:pPr>
    </w:p>
    <w:p w14:paraId="3566F2C4" w14:textId="77777777" w:rsidR="00827A41" w:rsidRPr="008F3AB1" w:rsidRDefault="00827A41" w:rsidP="00827A41">
      <w:pPr>
        <w:autoSpaceDE w:val="0"/>
        <w:autoSpaceDN w:val="0"/>
        <w:adjustRightInd w:val="0"/>
        <w:spacing w:after="0"/>
        <w:rPr>
          <w:rFonts w:cs="Arial"/>
        </w:rPr>
      </w:pPr>
      <w:r w:rsidRPr="008F3AB1">
        <w:rPr>
          <w:rFonts w:cs="Arial"/>
          <w:strike/>
        </w:rPr>
        <w:t>La La autoridad ambiental puede recomendar al productor la Implementación del manejo integrado de plagas (MIP) validado o emitido por un ingeniero agrónomo o agrónomo para garantizar la sanidad en el cultivo, el cual es un proceso que combina herramientas y estrategias para manejar plagas de una manera planificada y sistemática, manteniendo su número o el daño que ocasionan dentro de un nivel aceptable. El MIP tiene su base en cuatro pilares fundamentales (1. Identificación de las plagas, 2. Prevención, 3. Monitoreo, 4. Intervención), cuya implementación permite tener un conocimiento y control integral del cultivo antes de cualquier tipo de intervención enfocada al control específico de las plagas; para lo cual es necesario, seguir las orientaciones de la autoridad sanitaria, Instituto Colombiano Agropecuario – ICA</w:t>
      </w:r>
      <w:r w:rsidRPr="008F3AB1">
        <w:rPr>
          <w:rFonts w:cs="Arial"/>
        </w:rPr>
        <w:t xml:space="preserve">.   </w:t>
      </w:r>
    </w:p>
    <w:p w14:paraId="497C212B" w14:textId="77777777" w:rsidR="00827A41" w:rsidRPr="008F3AB1" w:rsidRDefault="00827A41" w:rsidP="00827A41">
      <w:pPr>
        <w:autoSpaceDE w:val="0"/>
        <w:autoSpaceDN w:val="0"/>
        <w:adjustRightInd w:val="0"/>
        <w:spacing w:after="0"/>
        <w:rPr>
          <w:rFonts w:cs="Arial"/>
        </w:rPr>
      </w:pPr>
    </w:p>
    <w:p w14:paraId="3A1151E7" w14:textId="77777777" w:rsidR="00827A41" w:rsidRPr="008F3AB1" w:rsidRDefault="00827A41" w:rsidP="00827A41">
      <w:pPr>
        <w:autoSpaceDE w:val="0"/>
        <w:autoSpaceDN w:val="0"/>
        <w:adjustRightInd w:val="0"/>
        <w:spacing w:after="0"/>
        <w:rPr>
          <w:rFonts w:cs="Arial"/>
          <w:noProof/>
        </w:rPr>
      </w:pPr>
      <w:r w:rsidRPr="008F3AB1">
        <w:rPr>
          <w:rFonts w:cs="Arial"/>
          <w:noProof/>
        </w:rPr>
        <w:t xml:space="preserve">La autoridad ambiental puede verificar la existencia del plan de Manejo Integrado de Plagas (MIP), bajo el principio de precaución, enfocado en que la práctica no genere una degradación irreversible de los recursos naturales. El cual es un proceso que combina herramientas y estrategias para manejar plagas de una manera planificada y sistemática, manteniendo su número o el daño que ocasionan dentro de un nivel aceptable. El MIP tiene su base en cuatro pilares fundamentales (1. Identificación de las plagas, 2. Prevención, 3. Monitoreo, 4. Intervención), cuya implementación permite tener un conocimiento y control integral del cultivo antes de cualquier tipo de intervención enfocada al control específico de las plagas; para lo cual es necesario, seguir las orientaciones de la autoridad sanitaria, Instituto Colombiano Agropecuario – ICA.  </w:t>
      </w:r>
    </w:p>
    <w:p w14:paraId="457FD83E" w14:textId="77777777" w:rsidR="00827A41" w:rsidRPr="008F3AB1" w:rsidRDefault="00827A41" w:rsidP="00827A41">
      <w:pPr>
        <w:autoSpaceDE w:val="0"/>
        <w:autoSpaceDN w:val="0"/>
        <w:adjustRightInd w:val="0"/>
        <w:spacing w:after="0"/>
        <w:rPr>
          <w:rFonts w:cs="Arial"/>
          <w:noProof/>
        </w:rPr>
      </w:pPr>
    </w:p>
    <w:p w14:paraId="5497ADBF" w14:textId="77777777" w:rsidR="00827A41" w:rsidRPr="008F3AB1" w:rsidRDefault="00827A41" w:rsidP="00827A41">
      <w:pPr>
        <w:spacing w:after="0"/>
        <w:rPr>
          <w:rFonts w:cs="Arial"/>
          <w:lang w:val="es-MX"/>
        </w:rPr>
      </w:pPr>
      <w:r w:rsidRPr="008F3AB1">
        <w:rPr>
          <w:rFonts w:cs="Arial"/>
          <w:lang w:val="es-MX"/>
        </w:rPr>
        <w:t>Es necesario tener en cuenta la relación de plaguicidas prohibidos, restringidos y cancelados en Colombia, para cualquier tipo de cultivo, incluido el de aguacate, para lo cual recomendamos consultar la página:</w:t>
      </w:r>
    </w:p>
    <w:p w14:paraId="59F14F74" w14:textId="77777777" w:rsidR="00827A41" w:rsidRPr="008F3AB1" w:rsidRDefault="00CD7AEB" w:rsidP="00827A41">
      <w:pPr>
        <w:spacing w:after="0"/>
        <w:rPr>
          <w:rFonts w:cs="Arial"/>
          <w:lang w:val="es-MX"/>
        </w:rPr>
      </w:pPr>
      <w:hyperlink r:id="rId12" w:history="1">
        <w:r w:rsidR="00827A41" w:rsidRPr="008F3AB1">
          <w:rPr>
            <w:rStyle w:val="Hipervnculo"/>
            <w:rFonts w:cs="Arial"/>
            <w:lang w:val="es-MX"/>
          </w:rPr>
          <w:t>https://www.ica.gov.co/areas/agricola/servicios/regulacion-y-control-de-plaguicidas-quimicos.aspx</w:t>
        </w:r>
      </w:hyperlink>
    </w:p>
    <w:p w14:paraId="1981F188" w14:textId="77777777" w:rsidR="00827A41" w:rsidRPr="008F3AB1" w:rsidRDefault="00827A41" w:rsidP="00827A41">
      <w:pPr>
        <w:spacing w:after="0" w:line="276" w:lineRule="auto"/>
        <w:rPr>
          <w:rFonts w:cs="Arial"/>
          <w:lang w:val="es-MX"/>
        </w:rPr>
      </w:pPr>
    </w:p>
    <w:p w14:paraId="291BA076" w14:textId="77777777" w:rsidR="00827A41" w:rsidRPr="008F3AB1" w:rsidRDefault="00827A41" w:rsidP="00827A41">
      <w:pPr>
        <w:spacing w:after="0"/>
        <w:rPr>
          <w:rFonts w:cs="Arial"/>
        </w:rPr>
      </w:pPr>
      <w:r w:rsidRPr="008F3AB1">
        <w:rPr>
          <w:rFonts w:cs="Arial"/>
          <w:lang w:val="es-MX"/>
        </w:rPr>
        <w:t>E</w:t>
      </w:r>
      <w:r w:rsidRPr="008F3AB1">
        <w:rPr>
          <w:rFonts w:cs="Arial"/>
        </w:rPr>
        <w:t xml:space="preserve">l usuario o aplicador debe contar con el conocimiento necesario para aplicar los protocolos y seguir las recomendaciones indicadas para el manejo responsable de los Plaguicidas Químicos de Uso Agrícola - PQUA que le permitan realizar aplicaciones seguras y eficientes, minimizando los riesgos asociados al producto y su aplicación, evitando los impactos negativos ambientales. </w:t>
      </w:r>
    </w:p>
    <w:p w14:paraId="23E78F3C" w14:textId="77777777" w:rsidR="00827A41" w:rsidRPr="008F3AB1" w:rsidRDefault="00827A41" w:rsidP="00827A41">
      <w:pPr>
        <w:spacing w:after="0"/>
        <w:rPr>
          <w:rFonts w:cs="Arial"/>
        </w:rPr>
      </w:pPr>
    </w:p>
    <w:p w14:paraId="056EA567" w14:textId="77777777" w:rsidR="00827A41" w:rsidRPr="008F3AB1" w:rsidRDefault="00827A41" w:rsidP="00827A41">
      <w:pPr>
        <w:spacing w:after="0"/>
        <w:rPr>
          <w:rFonts w:cs="Arial"/>
        </w:rPr>
      </w:pPr>
      <w:r w:rsidRPr="008F3AB1">
        <w:rPr>
          <w:rFonts w:cs="Arial"/>
          <w:lang w:val="es-MX"/>
        </w:rPr>
        <w:lastRenderedPageBreak/>
        <w:t>La autoridad ambiental territorial debe exigir al productor que, en ningún caso se podrán realizar la aplicación de plaguicidas, en forma terrestre en una franja de 30 metros desde el borde del cauce y de 100 metros para la aérea, de conformidad con lo dispuesto en el Artículo 87 del Decreto 1843 de 1991</w:t>
      </w:r>
      <w:r w:rsidRPr="008F3AB1">
        <w:rPr>
          <w:rFonts w:cs="Arial"/>
        </w:rPr>
        <w:t>.</w:t>
      </w:r>
    </w:p>
    <w:p w14:paraId="00CC012A" w14:textId="77777777" w:rsidR="00827A41" w:rsidRPr="008F3AB1" w:rsidRDefault="00827A41" w:rsidP="00827A41">
      <w:pPr>
        <w:spacing w:after="0"/>
        <w:rPr>
          <w:rFonts w:cs="Arial"/>
        </w:rPr>
      </w:pPr>
    </w:p>
    <w:p w14:paraId="2D556A32" w14:textId="77777777" w:rsidR="00827A41" w:rsidRPr="008F3AB1" w:rsidRDefault="00827A41" w:rsidP="00827A41">
      <w:pPr>
        <w:spacing w:after="0"/>
        <w:rPr>
          <w:rFonts w:cs="Arial"/>
        </w:rPr>
      </w:pPr>
      <w:r w:rsidRPr="008F3AB1">
        <w:rPr>
          <w:rFonts w:cs="Arial"/>
        </w:rPr>
        <w:t xml:space="preserve">El agua residual del lavado de los equipos de aplicación y de los Elementos de Protección Personal no se debe verter en fuentes de agua y al suelo en un punto fijo, se recomienda seguir las instrucciones de la norma de buenas prácticas agrícolas – BPA del ICA, Resolución 82394 de 2020. Así mismo, dar el manejo adecuado a los residuos peligrosos de resultado de la </w:t>
      </w:r>
      <w:r w:rsidRPr="008F3AB1">
        <w:rPr>
          <w:rFonts w:cs="Arial"/>
          <w:lang w:val="es-MX"/>
        </w:rPr>
        <w:t>aplicación de plaguicidas</w:t>
      </w:r>
      <w:r w:rsidRPr="008F3AB1">
        <w:rPr>
          <w:rFonts w:cs="Arial"/>
        </w:rPr>
        <w:t>, en puntos o proveedores que tengan programas Posconsumo autorizados por la Autoridad Ambiental competente.</w:t>
      </w:r>
    </w:p>
    <w:p w14:paraId="40D7D403" w14:textId="77777777" w:rsidR="00827A41" w:rsidRPr="008F3AB1" w:rsidRDefault="00827A41" w:rsidP="00827A41">
      <w:pPr>
        <w:spacing w:after="0"/>
        <w:rPr>
          <w:rFonts w:cs="Arial"/>
        </w:rPr>
      </w:pPr>
    </w:p>
    <w:p w14:paraId="32ED3FE2" w14:textId="77777777" w:rsidR="00827A41" w:rsidRPr="008F3AB1" w:rsidRDefault="00827A41" w:rsidP="00827A41">
      <w:pPr>
        <w:spacing w:after="0"/>
        <w:rPr>
          <w:rFonts w:cs="Arial"/>
        </w:rPr>
      </w:pPr>
      <w:r w:rsidRPr="008F3AB1">
        <w:rPr>
          <w:rFonts w:cs="Arial"/>
        </w:rPr>
        <w:t>Asimismo, es importante conocer que, antes de realizar cualquier aspersión aérea los productores deben tener en consideración las condiciones meteorológicas de la zona a fin de evitar riesgos de contaminación a las áreas aledañas del cultivo.</w:t>
      </w:r>
    </w:p>
    <w:p w14:paraId="52B89984" w14:textId="77777777" w:rsidR="00827A41" w:rsidRPr="008F3AB1" w:rsidRDefault="00827A41" w:rsidP="005306CE">
      <w:pPr>
        <w:pStyle w:val="Ttulo1"/>
        <w:keepNext/>
        <w:keepLines/>
        <w:widowControl/>
        <w:numPr>
          <w:ilvl w:val="3"/>
          <w:numId w:val="43"/>
        </w:numPr>
        <w:autoSpaceDE/>
        <w:autoSpaceDN/>
        <w:spacing w:before="240"/>
        <w:rPr>
          <w:rFonts w:eastAsiaTheme="minorEastAsia"/>
          <w:lang w:val="es-MX" w:eastAsia="es-ES"/>
        </w:rPr>
      </w:pPr>
      <w:bookmarkStart w:id="85" w:name="_Toc104385047"/>
      <w:bookmarkStart w:id="86" w:name="_Toc211877974"/>
      <w:r w:rsidRPr="008F3AB1">
        <w:rPr>
          <w:rFonts w:eastAsiaTheme="minorEastAsia"/>
          <w:lang w:val="es-MX" w:eastAsia="es-ES"/>
        </w:rPr>
        <w:t>Manejo de residuos sólidos y de vertimientos</w:t>
      </w:r>
      <w:bookmarkEnd w:id="85"/>
      <w:bookmarkEnd w:id="86"/>
    </w:p>
    <w:p w14:paraId="0EE643AF" w14:textId="77777777" w:rsidR="00827A41" w:rsidRPr="008F3AB1" w:rsidRDefault="00827A41" w:rsidP="00827A41">
      <w:pPr>
        <w:spacing w:after="0"/>
        <w:rPr>
          <w:rFonts w:eastAsia="Calibri" w:cs="Arial"/>
        </w:rPr>
      </w:pPr>
    </w:p>
    <w:p w14:paraId="32BF452D" w14:textId="77777777" w:rsidR="00827A41" w:rsidRPr="008F3AB1" w:rsidRDefault="00827A41" w:rsidP="00827A41">
      <w:pPr>
        <w:spacing w:after="0"/>
        <w:rPr>
          <w:rFonts w:eastAsia="Calibri" w:cs="Arial"/>
        </w:rPr>
      </w:pPr>
      <w:r w:rsidRPr="008F3AB1">
        <w:rPr>
          <w:rFonts w:eastAsia="Calibri" w:cs="Arial"/>
        </w:rPr>
        <w:t xml:space="preserve">La gestión integral de los residuos implica las acciones de planeación e implementación de todas las actividades relacionadas con la minimización, generación, segregación, movimiento interno, almacenamiento y/o tratamiento de residuos, con el fin de prevenir y reducir la generación de estos, garantizando así su aprovechamiento, valorización energética, tratamiento y disposición final adecuada, lo cual será objeto de verificación por parte de la Autoridad Ambiental competente, en cumplimiento de la normativa vigente respecto al tema. Por ello, dentro de las áreas de producción de aguacate, se deberá evidenciar la correcta gestión de los residuos sólidos, tanto peligrosos como no peligrosos.   </w:t>
      </w:r>
    </w:p>
    <w:p w14:paraId="6ECD9674" w14:textId="77777777" w:rsidR="00827A41" w:rsidRPr="008F3AB1" w:rsidRDefault="00827A41" w:rsidP="00827A41">
      <w:pPr>
        <w:spacing w:after="0"/>
        <w:rPr>
          <w:rFonts w:eastAsia="Calibri" w:cs="Arial"/>
          <w:lang w:val="es"/>
        </w:rPr>
      </w:pPr>
      <w:r w:rsidRPr="008F3AB1">
        <w:rPr>
          <w:rFonts w:eastAsia="Calibri" w:cs="Arial"/>
          <w:lang w:val="es"/>
        </w:rPr>
        <w:t xml:space="preserve"> </w:t>
      </w:r>
    </w:p>
    <w:p w14:paraId="6011C870" w14:textId="77777777" w:rsidR="00827A41" w:rsidRPr="008F3AB1" w:rsidRDefault="00827A41" w:rsidP="00827A41">
      <w:pPr>
        <w:spacing w:after="0"/>
        <w:rPr>
          <w:rFonts w:eastAsia="Calibri" w:cs="Arial"/>
        </w:rPr>
      </w:pPr>
      <w:r w:rsidRPr="008F3AB1">
        <w:rPr>
          <w:rFonts w:eastAsia="Calibri" w:cs="Arial"/>
        </w:rPr>
        <w:t>Ahora bien, los residuos de Plaguicidas Químicos de Uso Agrícola - PQUA, tanto los productos vencidos o parcialmente consumidos, los envases vacíos o los elementos que estuvieron en contacto con estos son considerados como Respel</w:t>
      </w:r>
      <w:r w:rsidRPr="008F3AB1">
        <w:rPr>
          <w:rFonts w:eastAsia="Calibri" w:cs="Arial"/>
          <w:vertAlign w:val="superscript"/>
        </w:rPr>
        <w:footnoteReference w:id="5"/>
      </w:r>
      <w:r w:rsidRPr="008F3AB1">
        <w:rPr>
          <w:rFonts w:eastAsia="Calibri" w:cs="Arial"/>
        </w:rPr>
        <w:t xml:space="preserve"> y, por lo tanto, su gestión debe enmarcarse en la reglamentación establecida para este tipo de residuos aplicando los principios y pilares definidos en la Política ambiental para la gestión integral de Respel, así las cosas, se recomienda tener en cuenta los aspectos establecidos en la Resolución 082394 de 2020, expedida por el ICA, y verificar al menos que:</w:t>
      </w:r>
    </w:p>
    <w:p w14:paraId="25436AE6" w14:textId="77777777" w:rsidR="00827A41" w:rsidRPr="008F3AB1" w:rsidRDefault="00827A41" w:rsidP="00827A41">
      <w:pPr>
        <w:spacing w:after="0"/>
        <w:rPr>
          <w:rFonts w:eastAsia="Calibri" w:cs="Arial"/>
          <w:lang w:val="es"/>
        </w:rPr>
      </w:pPr>
      <w:r w:rsidRPr="008F3AB1">
        <w:rPr>
          <w:rFonts w:eastAsia="Calibri" w:cs="Arial"/>
          <w:lang w:val="es"/>
        </w:rPr>
        <w:t xml:space="preserve"> </w:t>
      </w:r>
    </w:p>
    <w:p w14:paraId="2668B6D9" w14:textId="77777777" w:rsidR="00827A41" w:rsidRPr="008F3AB1" w:rsidRDefault="00827A41" w:rsidP="005306CE">
      <w:pPr>
        <w:pStyle w:val="Prrafodelista"/>
        <w:widowControl/>
        <w:numPr>
          <w:ilvl w:val="0"/>
          <w:numId w:val="49"/>
        </w:numPr>
        <w:autoSpaceDE/>
        <w:autoSpaceDN/>
        <w:contextualSpacing/>
        <w:rPr>
          <w:rFonts w:eastAsia="Calibri"/>
          <w:lang w:val="es"/>
        </w:rPr>
      </w:pPr>
      <w:r w:rsidRPr="008F3AB1">
        <w:rPr>
          <w:rFonts w:eastAsia="Calibri"/>
          <w:lang w:val="es"/>
        </w:rPr>
        <w:t>No se reutilicen los envases, estos deben ser perforados sin dañar la etiqueta y almacenados en forma segura en un sitio exclusivo para almacenamiento de residuos peligrosos.</w:t>
      </w:r>
    </w:p>
    <w:p w14:paraId="74C37FD4" w14:textId="77777777" w:rsidR="00827A41" w:rsidRPr="008F3AB1" w:rsidRDefault="00827A41" w:rsidP="005306CE">
      <w:pPr>
        <w:pStyle w:val="Prrafodelista"/>
        <w:widowControl/>
        <w:numPr>
          <w:ilvl w:val="0"/>
          <w:numId w:val="49"/>
        </w:numPr>
        <w:autoSpaceDE/>
        <w:autoSpaceDN/>
        <w:contextualSpacing/>
        <w:rPr>
          <w:rFonts w:eastAsia="Calibri"/>
          <w:lang w:val="es"/>
        </w:rPr>
      </w:pPr>
      <w:r w:rsidRPr="008F3AB1">
        <w:rPr>
          <w:rFonts w:eastAsia="Calibri"/>
          <w:lang w:val="es-MX"/>
        </w:rPr>
        <w:t xml:space="preserve">No se acumulen </w:t>
      </w:r>
      <w:r w:rsidRPr="008F3AB1">
        <w:rPr>
          <w:rFonts w:eastAsia="Calibri"/>
          <w:lang w:val="es"/>
        </w:rPr>
        <w:t xml:space="preserve">residuos </w:t>
      </w:r>
      <w:r w:rsidRPr="008F3AB1">
        <w:rPr>
          <w:rFonts w:eastAsia="Calibri"/>
          <w:lang w:val="es-MX"/>
        </w:rPr>
        <w:t>en el predio.</w:t>
      </w:r>
    </w:p>
    <w:p w14:paraId="62B5FFA4" w14:textId="77777777" w:rsidR="00827A41" w:rsidRPr="008F3AB1" w:rsidRDefault="00827A41" w:rsidP="005306CE">
      <w:pPr>
        <w:pStyle w:val="Prrafodelista"/>
        <w:widowControl/>
        <w:numPr>
          <w:ilvl w:val="0"/>
          <w:numId w:val="49"/>
        </w:numPr>
        <w:autoSpaceDE/>
        <w:autoSpaceDN/>
        <w:contextualSpacing/>
        <w:rPr>
          <w:rFonts w:eastAsia="Calibri"/>
          <w:lang w:val="es"/>
        </w:rPr>
      </w:pPr>
      <w:r w:rsidRPr="008F3AB1">
        <w:rPr>
          <w:rFonts w:eastAsia="Calibri"/>
          <w:lang w:val="es"/>
        </w:rPr>
        <w:t>Cuando los plaguicidas vencidos se encuentren en el predio, estén almacenados de forma segura e identificados para evitar que sean utilizados, vertidos al suelo o al agua.</w:t>
      </w:r>
    </w:p>
    <w:p w14:paraId="7B1D2206" w14:textId="77777777" w:rsidR="00827A41" w:rsidRPr="008F3AB1" w:rsidRDefault="00827A41" w:rsidP="00827A41">
      <w:pPr>
        <w:pStyle w:val="Prrafodelista"/>
        <w:rPr>
          <w:rFonts w:eastAsia="Calibri"/>
          <w:lang w:val="es"/>
        </w:rPr>
      </w:pPr>
    </w:p>
    <w:p w14:paraId="27AF2C27" w14:textId="77777777" w:rsidR="00827A41" w:rsidRPr="008F3AB1" w:rsidRDefault="00827A41" w:rsidP="005306CE">
      <w:pPr>
        <w:pStyle w:val="Prrafodelista"/>
        <w:widowControl/>
        <w:numPr>
          <w:ilvl w:val="0"/>
          <w:numId w:val="49"/>
        </w:numPr>
        <w:autoSpaceDE/>
        <w:autoSpaceDN/>
        <w:contextualSpacing/>
        <w:rPr>
          <w:rFonts w:eastAsia="Calibri"/>
          <w:lang w:val="es"/>
        </w:rPr>
      </w:pPr>
      <w:r w:rsidRPr="008F3AB1">
        <w:rPr>
          <w:rFonts w:eastAsia="Calibri"/>
          <w:lang w:val="es"/>
        </w:rPr>
        <w:lastRenderedPageBreak/>
        <w:t>El productor realice el triple lavado de los recipientes vacíos de los plaguicidas y que el agua del lavado sea vertida en el tanque de mezcla.</w:t>
      </w:r>
    </w:p>
    <w:p w14:paraId="05D3A537" w14:textId="77777777" w:rsidR="00827A41" w:rsidRPr="008F3AB1" w:rsidRDefault="00827A41" w:rsidP="005306CE">
      <w:pPr>
        <w:pStyle w:val="Prrafodelista"/>
        <w:widowControl/>
        <w:numPr>
          <w:ilvl w:val="0"/>
          <w:numId w:val="49"/>
        </w:numPr>
        <w:autoSpaceDE/>
        <w:autoSpaceDN/>
        <w:contextualSpacing/>
        <w:rPr>
          <w:rFonts w:eastAsia="Calibri"/>
          <w:lang w:val="es"/>
        </w:rPr>
      </w:pPr>
      <w:r w:rsidRPr="008F3AB1">
        <w:rPr>
          <w:rFonts w:eastAsia="Calibri"/>
          <w:lang w:val="es-MX"/>
        </w:rPr>
        <w:t>Los envases</w:t>
      </w:r>
      <w:r w:rsidRPr="008F3AB1">
        <w:rPr>
          <w:rFonts w:eastAsia="Calibri"/>
          <w:lang w:val="es"/>
        </w:rPr>
        <w:t xml:space="preserve"> vacíos</w:t>
      </w:r>
      <w:r w:rsidRPr="008F3AB1">
        <w:rPr>
          <w:rFonts w:eastAsia="Calibri"/>
          <w:lang w:val="es-MX"/>
        </w:rPr>
        <w:t xml:space="preserve"> después de realizar el triple lavado a un programa posconsumo o en su defecto a un gestor autorizado. Estos no deben ser enterrados, quemados, reutilizados o mezclados con otros residuos.</w:t>
      </w:r>
    </w:p>
    <w:p w14:paraId="2375E0A9" w14:textId="77777777" w:rsidR="00827A41" w:rsidRPr="008F3AB1" w:rsidRDefault="00827A41" w:rsidP="00827A41">
      <w:pPr>
        <w:spacing w:after="0"/>
        <w:rPr>
          <w:rFonts w:eastAsia="Calibri" w:cs="Arial"/>
          <w:lang w:val="es"/>
        </w:rPr>
      </w:pPr>
      <w:r w:rsidRPr="008F3AB1">
        <w:rPr>
          <w:rFonts w:eastAsia="Calibri" w:cs="Arial"/>
          <w:lang w:val="es"/>
        </w:rPr>
        <w:t xml:space="preserve"> </w:t>
      </w:r>
    </w:p>
    <w:p w14:paraId="7C387747" w14:textId="77777777" w:rsidR="00827A41" w:rsidRPr="008F3AB1" w:rsidRDefault="00827A41" w:rsidP="00827A41">
      <w:pPr>
        <w:spacing w:after="0"/>
        <w:rPr>
          <w:rFonts w:cs="Arial"/>
        </w:rPr>
      </w:pPr>
      <w:r w:rsidRPr="008F3AB1">
        <w:rPr>
          <w:rFonts w:eastAsia="Calibri" w:cs="Arial"/>
        </w:rPr>
        <w:t xml:space="preserve">Estas medidas también contribuyen al mantenimiento del límite máximo de residuos – LMR definido en la resolución ICA </w:t>
      </w:r>
      <w:r w:rsidRPr="008F3AB1">
        <w:rPr>
          <w:rFonts w:cs="Arial"/>
        </w:rPr>
        <w:t xml:space="preserve">00000824 de 2022 </w:t>
      </w:r>
      <w:r w:rsidRPr="008F3AB1">
        <w:rPr>
          <w:rFonts w:cs="Arial"/>
          <w:i/>
        </w:rPr>
        <w:t>“Por la cual se establecen los requisitos para el registro ante el ICA de los lugares de producción, exportadores y empacadoras de vegetales para la exportación en fresco”</w:t>
      </w:r>
      <w:r w:rsidRPr="008F3AB1">
        <w:rPr>
          <w:rFonts w:cs="Arial"/>
        </w:rPr>
        <w:t>, ya que el incumplimiento de estos requisitos tiene la posibilidad de perder el registro y la generación de procesos sancionatorios.</w:t>
      </w:r>
    </w:p>
    <w:p w14:paraId="1D44CE5D" w14:textId="77777777" w:rsidR="00827A41" w:rsidRPr="008F3AB1" w:rsidRDefault="00827A41" w:rsidP="00827A41">
      <w:pPr>
        <w:spacing w:after="0"/>
        <w:rPr>
          <w:rFonts w:cs="Arial"/>
          <w:sz w:val="20"/>
          <w:szCs w:val="20"/>
        </w:rPr>
      </w:pPr>
    </w:p>
    <w:p w14:paraId="73AD8B17" w14:textId="77777777" w:rsidR="00827A41" w:rsidRPr="008F3AB1" w:rsidRDefault="00827A41" w:rsidP="00827A41">
      <w:pPr>
        <w:spacing w:after="0"/>
        <w:rPr>
          <w:rFonts w:eastAsia="Calibri" w:cs="Arial"/>
        </w:rPr>
      </w:pPr>
      <w:r w:rsidRPr="008F3AB1">
        <w:rPr>
          <w:rFonts w:eastAsia="Calibri" w:cs="Arial"/>
        </w:rPr>
        <w:t>Teniendo en cuenta que los envases, empaques y embalajes</w:t>
      </w:r>
      <w:r w:rsidRPr="008F3AB1">
        <w:rPr>
          <w:rFonts w:eastAsia="Calibri" w:cs="Arial"/>
          <w:vertAlign w:val="superscript"/>
        </w:rPr>
        <w:footnoteReference w:id="6"/>
      </w:r>
      <w:r w:rsidRPr="008F3AB1">
        <w:rPr>
          <w:rFonts w:eastAsia="Calibri" w:cs="Arial"/>
        </w:rPr>
        <w:t>, se encuentran dentro del alcance de la responsabilidad extendida de los fabricantes e importadores</w:t>
      </w:r>
      <w:r w:rsidRPr="008F3AB1">
        <w:rPr>
          <w:rFonts w:eastAsia="Calibri" w:cs="Arial"/>
          <w:vertAlign w:val="superscript"/>
        </w:rPr>
        <w:footnoteReference w:id="7"/>
      </w:r>
      <w:r w:rsidRPr="008F3AB1">
        <w:rPr>
          <w:rFonts w:eastAsia="Calibri" w:cs="Arial"/>
          <w:vertAlign w:val="superscript"/>
        </w:rPr>
        <w:t>,</w:t>
      </w:r>
      <w:r w:rsidRPr="008F3AB1">
        <w:rPr>
          <w:rFonts w:eastAsia="Calibri" w:cs="Arial"/>
        </w:rPr>
        <w:t xml:space="preserve"> es deber de los productores de aguacate hacer la entrega de estos a través de un </w:t>
      </w:r>
      <w:r w:rsidRPr="008F3AB1">
        <w:rPr>
          <w:rFonts w:eastAsia="Calibri" w:cs="Arial"/>
          <w:i/>
          <w:iCs/>
        </w:rPr>
        <w:t>Plan de Gestión de Devolución de Productos Posconsumo</w:t>
      </w:r>
      <w:r w:rsidRPr="008F3AB1">
        <w:rPr>
          <w:rFonts w:eastAsia="Calibri" w:cs="Arial"/>
        </w:rPr>
        <w:t xml:space="preserve"> - GDP</w:t>
      </w:r>
      <w:r w:rsidRPr="008F3AB1">
        <w:rPr>
          <w:rFonts w:eastAsia="Calibri" w:cs="Arial"/>
          <w:vertAlign w:val="superscript"/>
        </w:rPr>
        <w:footnoteReference w:id="8"/>
      </w:r>
      <w:r w:rsidRPr="008F3AB1">
        <w:rPr>
          <w:rFonts w:eastAsia="Calibri" w:cs="Arial"/>
          <w:vertAlign w:val="superscript"/>
        </w:rPr>
        <w:t xml:space="preserve"> </w:t>
      </w:r>
      <w:r w:rsidRPr="008F3AB1">
        <w:rPr>
          <w:rFonts w:eastAsia="Calibri" w:cs="Arial"/>
        </w:rPr>
        <w:t>o a un gestor autorizado; en este sentido, se invita a la autoridad ambiental competente a brindar la información necesaria para ello conforme a lo indicado en el artículo 15 de la Resolución 1675 de 2013</w:t>
      </w:r>
      <w:r w:rsidRPr="008F3AB1">
        <w:rPr>
          <w:rFonts w:eastAsia="Calibri" w:cs="Arial"/>
          <w:vertAlign w:val="superscript"/>
        </w:rPr>
        <w:footnoteReference w:id="9"/>
      </w:r>
      <w:r w:rsidRPr="008F3AB1">
        <w:rPr>
          <w:rFonts w:eastAsia="Calibri" w:cs="Arial"/>
          <w:vertAlign w:val="superscript"/>
        </w:rPr>
        <w:t>.</w:t>
      </w:r>
      <w:r w:rsidRPr="008F3AB1">
        <w:rPr>
          <w:rFonts w:eastAsia="Calibri" w:cs="Arial"/>
        </w:rPr>
        <w:t xml:space="preserve"> </w:t>
      </w:r>
    </w:p>
    <w:p w14:paraId="63BDF23B" w14:textId="77777777" w:rsidR="00827A41" w:rsidRPr="008F3AB1" w:rsidRDefault="00827A41" w:rsidP="00827A41">
      <w:pPr>
        <w:spacing w:after="0"/>
        <w:rPr>
          <w:rFonts w:cs="Arial"/>
        </w:rPr>
      </w:pPr>
    </w:p>
    <w:p w14:paraId="0902AB76" w14:textId="77777777" w:rsidR="00827A41" w:rsidRPr="008F3AB1" w:rsidRDefault="00827A41" w:rsidP="00827A41">
      <w:pPr>
        <w:pStyle w:val="Prrafodelista"/>
        <w:spacing w:after="200"/>
        <w:ind w:left="0"/>
        <w:rPr>
          <w:lang w:val="es-MX"/>
        </w:rPr>
      </w:pPr>
      <w:r w:rsidRPr="008F3AB1">
        <w:rPr>
          <w:lang w:val="es-MX"/>
        </w:rPr>
        <w:t xml:space="preserve">En cuanto a los residuos orgánicos, se debe procurar, por la aplicación, de criterios de circularidad, para lo cual el productor puede utilizar como insumo la Guía Ambiental Sectorial Para el Cultivo de Aguacate, una vez que ésta sea </w:t>
      </w:r>
      <w:r w:rsidRPr="008F3AB1">
        <w:rPr>
          <w:rFonts w:eastAsia="Aptos"/>
          <w:lang w:val="es"/>
        </w:rPr>
        <w:t xml:space="preserve">expedida por el Ministerio de Ambiente y Desarrollo Sostenible. </w:t>
      </w:r>
      <w:r w:rsidRPr="008F3AB1">
        <w:rPr>
          <w:lang w:val="es-MX"/>
        </w:rPr>
        <w:t xml:space="preserve">En caso de generarse vertimientos, la autoridad ambiental competente deberá asegurarse, de que estos se realicen de forma controlada y de acuerdo con lo establecido en el Artículo 2.2.3.3.5.1. del Decreto único reglamentario del sector ambiente 1076 de 2015 y demás normas sobre la materia, las cuales fueron relacionadas en la sección </w:t>
      </w:r>
      <w:r w:rsidRPr="008F3AB1">
        <w:rPr>
          <w:i/>
          <w:iCs/>
          <w:lang w:val="es-MX"/>
        </w:rPr>
        <w:t>“Marco legal y normativo”</w:t>
      </w:r>
      <w:r w:rsidRPr="008F3AB1">
        <w:rPr>
          <w:lang w:val="es-MX"/>
        </w:rPr>
        <w:t xml:space="preserve"> del presente documento.</w:t>
      </w:r>
    </w:p>
    <w:p w14:paraId="4678822B" w14:textId="77777777" w:rsidR="00827A41" w:rsidRPr="008F3AB1" w:rsidRDefault="00827A41" w:rsidP="00827A41">
      <w:pPr>
        <w:pStyle w:val="Prrafodelista"/>
        <w:spacing w:after="200"/>
        <w:ind w:left="0"/>
        <w:rPr>
          <w:lang w:val="es-MX"/>
        </w:rPr>
      </w:pPr>
    </w:p>
    <w:p w14:paraId="18267D39" w14:textId="77777777" w:rsidR="00827A41" w:rsidRPr="008F3AB1" w:rsidRDefault="00827A41" w:rsidP="005306CE">
      <w:pPr>
        <w:pStyle w:val="Ttulo1"/>
        <w:keepNext/>
        <w:keepLines/>
        <w:widowControl/>
        <w:numPr>
          <w:ilvl w:val="3"/>
          <w:numId w:val="43"/>
        </w:numPr>
        <w:autoSpaceDE/>
        <w:autoSpaceDN/>
        <w:spacing w:before="240"/>
        <w:rPr>
          <w:rFonts w:eastAsiaTheme="minorEastAsia"/>
          <w:lang w:val="es-ES_tradnl" w:eastAsia="es-ES"/>
        </w:rPr>
      </w:pPr>
      <w:bookmarkStart w:id="87" w:name="_Toc211877975"/>
      <w:r w:rsidRPr="008F3AB1">
        <w:rPr>
          <w:rFonts w:eastAsiaTheme="minorEastAsia"/>
          <w:lang w:val="es-MX" w:eastAsia="es-ES"/>
        </w:rPr>
        <w:lastRenderedPageBreak/>
        <w:t>Gestión integral del cambio climático</w:t>
      </w:r>
      <w:bookmarkEnd w:id="87"/>
    </w:p>
    <w:p w14:paraId="179E9FC5" w14:textId="77777777" w:rsidR="00827A41" w:rsidRPr="008F3AB1" w:rsidRDefault="00827A41" w:rsidP="00827A41">
      <w:pPr>
        <w:rPr>
          <w:rFonts w:cs="Arial"/>
          <w:lang w:val="es-ES_tradnl" w:eastAsia="es-ES"/>
        </w:rPr>
      </w:pPr>
    </w:p>
    <w:p w14:paraId="3B63F48D" w14:textId="77777777" w:rsidR="00827A41" w:rsidRPr="008F3AB1" w:rsidRDefault="00827A41" w:rsidP="00827A41">
      <w:pPr>
        <w:rPr>
          <w:rFonts w:cs="Arial"/>
        </w:rPr>
      </w:pPr>
      <w:r w:rsidRPr="008F3AB1">
        <w:rPr>
          <w:rFonts w:cs="Arial"/>
          <w:lang w:val="es-ES_tradnl" w:eastAsia="es-ES"/>
        </w:rPr>
        <w:t xml:space="preserve">Las pautas para la gestión integral del cambio climático y la utilización de la información agroclimática para la producción de aguacate </w:t>
      </w:r>
      <w:r w:rsidRPr="008F3AB1">
        <w:rPr>
          <w:rFonts w:cs="Arial"/>
        </w:rPr>
        <w:t>deben basarse en la zonificación agroclimática, para conocer a nivel regional y local, el comportamiento de variables climáticas durante el año, la probabilidad que se presenten eventos extremos o adversos, y las características de suelos y relieve que puedan afectar el desarrollo del cultivo.  La zonificación agroclimática del territorio constituye una estrategia de manejo del riesgo que guía la implementación de medidas de prevención y adaptación, y el aumento de áreas productivas bajo condiciones climáticas adversas (Brunini et al., 2010).</w:t>
      </w:r>
    </w:p>
    <w:p w14:paraId="04A9909B" w14:textId="77777777" w:rsidR="00827A41" w:rsidRPr="008F3AB1" w:rsidRDefault="00827A41" w:rsidP="00827A41">
      <w:pPr>
        <w:rPr>
          <w:rFonts w:cs="Arial"/>
          <w:lang w:eastAsia="es-ES"/>
        </w:rPr>
      </w:pPr>
      <w:r w:rsidRPr="008F3AB1">
        <w:rPr>
          <w:rFonts w:cs="Arial"/>
          <w:lang w:eastAsia="es-ES"/>
        </w:rPr>
        <w:t>La promoción por parte de la autoridad ambiental para la inclusión dentro del cultivo de aguacate de tecnologías sostenibles, integrando conceptos de agricultura climáticamente inteligente, permite mejorar la capacidad de adaptación del cultivo, mejorar la calidad de vida de los productores y aporta a la soberanía alimentaria de los territorios.</w:t>
      </w:r>
    </w:p>
    <w:p w14:paraId="781D3371" w14:textId="77777777" w:rsidR="00827A41" w:rsidRPr="008F3AB1" w:rsidRDefault="00827A41" w:rsidP="00827A41">
      <w:pPr>
        <w:rPr>
          <w:rFonts w:cs="Arial"/>
        </w:rPr>
      </w:pPr>
      <w:r w:rsidRPr="008F3AB1">
        <w:rPr>
          <w:rFonts w:cs="Arial"/>
        </w:rPr>
        <w:t>A continuación, se presentan algunas orientaciones frente a la gestión del cambio climático en el cultivo de aguacate tanto desde la adaptación a las condiciones de variabilidad climática como a la reducción de emisiones de GEI:</w:t>
      </w:r>
    </w:p>
    <w:p w14:paraId="134B6B8B" w14:textId="77777777" w:rsidR="00827A41" w:rsidRPr="008F3AB1" w:rsidRDefault="00827A41" w:rsidP="00827A41">
      <w:pPr>
        <w:pStyle w:val="Ttulo1"/>
        <w:rPr>
          <w:rFonts w:eastAsiaTheme="minorEastAsia"/>
          <w:lang w:val="es-ES_tradnl" w:eastAsia="es-ES"/>
        </w:rPr>
      </w:pPr>
      <w:bookmarkStart w:id="88" w:name="_Toc211877976"/>
      <w:r w:rsidRPr="008F3AB1">
        <w:rPr>
          <w:rFonts w:eastAsiaTheme="minorEastAsia"/>
          <w:lang w:val="es-ES_tradnl" w:eastAsia="es-ES"/>
        </w:rPr>
        <w:t>Adaptación y Mitigación al cambio climático</w:t>
      </w:r>
      <w:bookmarkEnd w:id="88"/>
    </w:p>
    <w:p w14:paraId="4F695FC7" w14:textId="77777777" w:rsidR="00827A41" w:rsidRPr="008F3AB1" w:rsidRDefault="00827A41" w:rsidP="00827A41">
      <w:pPr>
        <w:rPr>
          <w:rFonts w:cs="Arial"/>
        </w:rPr>
      </w:pPr>
    </w:p>
    <w:p w14:paraId="188C3C8C" w14:textId="77777777" w:rsidR="00827A41" w:rsidRPr="008F3AB1" w:rsidRDefault="00827A41" w:rsidP="00827A41">
      <w:pPr>
        <w:rPr>
          <w:rFonts w:cs="Arial"/>
        </w:rPr>
      </w:pPr>
      <w:r w:rsidRPr="008F3AB1">
        <w:rPr>
          <w:rFonts w:cs="Arial"/>
        </w:rPr>
        <w:t xml:space="preserve">La autoridad ambiental territorial debe orientar al productor agropecuario en la implementación </w:t>
      </w:r>
      <w:bookmarkStart w:id="89" w:name="_Hlk199246435"/>
      <w:r w:rsidRPr="008F3AB1">
        <w:rPr>
          <w:rFonts w:cs="Arial"/>
        </w:rPr>
        <w:t>del Plan Integral de Gestión de Cambio Climático para el Sector Agropecuario (PIGCCS-AG</w:t>
      </w:r>
      <w:bookmarkEnd w:id="89"/>
      <w:r w:rsidRPr="008F3AB1">
        <w:rPr>
          <w:rFonts w:cs="Arial"/>
        </w:rPr>
        <w:t xml:space="preserve">) relacionados con el componente ambiental, a través de procesos de educación y capacitación, cuyos lineamientos técnicos se encuentran plasmados en las diferentes recomendaciones sectoriales emitidas por el Ministerio de Ambiente y Desarrollo Sostenible, en línea también con los compromisos climáticos suscritos por el país, entre estos la reducción del 51% de las emisiones de Gases de Efecto Invernadero (GEI) a 2030 y alcanzar la carbono neutralidad al 2050. </w:t>
      </w:r>
    </w:p>
    <w:p w14:paraId="56FB85DF" w14:textId="284A242C" w:rsidR="00827A41" w:rsidRPr="008F3AB1" w:rsidRDefault="00827A41" w:rsidP="00827A41">
      <w:pPr>
        <w:rPr>
          <w:rFonts w:cs="Arial"/>
        </w:rPr>
      </w:pPr>
      <w:r w:rsidRPr="008F3AB1">
        <w:rPr>
          <w:rFonts w:cs="Arial"/>
        </w:rPr>
        <w:t xml:space="preserve">De igual manera, se reitera lo establecido en el numeral </w:t>
      </w:r>
      <w:r w:rsidRPr="008F3AB1">
        <w:rPr>
          <w:rFonts w:cs="Arial"/>
        </w:rPr>
        <w:fldChar w:fldCharType="begin"/>
      </w:r>
      <w:r w:rsidRPr="008F3AB1">
        <w:rPr>
          <w:rFonts w:cs="Arial"/>
        </w:rPr>
        <w:instrText xml:space="preserve"> REF _Ref190984611 \w \h  \* MERGEFORMAT </w:instrText>
      </w:r>
      <w:r w:rsidRPr="008F3AB1">
        <w:rPr>
          <w:rFonts w:cs="Arial"/>
        </w:rPr>
      </w:r>
      <w:r w:rsidRPr="008F3AB1">
        <w:rPr>
          <w:rFonts w:cs="Arial"/>
        </w:rPr>
        <w:fldChar w:fldCharType="separate"/>
      </w:r>
      <w:r w:rsidRPr="008F3AB1">
        <w:rPr>
          <w:rFonts w:cs="Arial"/>
        </w:rPr>
        <w:t>2.4</w:t>
      </w:r>
      <w:r w:rsidRPr="008F3AB1">
        <w:rPr>
          <w:rFonts w:cs="Arial"/>
        </w:rPr>
        <w:fldChar w:fldCharType="end"/>
      </w:r>
      <w:r w:rsidRPr="008F3AB1">
        <w:rPr>
          <w:rFonts w:cs="Arial"/>
        </w:rPr>
        <w:t xml:space="preserve"> Consideraciones relacionadas con el ordenamiento territorial, que las medidas para la adaptación y mitigación al cambio climático deben ser incorporadas en el ordenamiento territorial, por lo cual estas medidas deben ser tenidas en cuenta para que el cultivo pueda aportar al desarrollo de las mismas.</w:t>
      </w:r>
    </w:p>
    <w:p w14:paraId="0A4BB300" w14:textId="77777777" w:rsidR="00827A41" w:rsidRPr="008F3AB1" w:rsidRDefault="00827A41" w:rsidP="005306CE">
      <w:pPr>
        <w:pStyle w:val="Ttulo1"/>
        <w:keepNext/>
        <w:keepLines/>
        <w:widowControl/>
        <w:numPr>
          <w:ilvl w:val="2"/>
          <w:numId w:val="43"/>
        </w:numPr>
        <w:autoSpaceDE/>
        <w:autoSpaceDN/>
        <w:spacing w:before="240"/>
        <w:rPr>
          <w:rFonts w:eastAsiaTheme="minorEastAsia"/>
          <w:lang w:val="es-MX" w:eastAsia="es-ES"/>
        </w:rPr>
      </w:pPr>
      <w:bookmarkStart w:id="90" w:name="_Toc211877977"/>
      <w:bookmarkStart w:id="91" w:name="_Toc104385048"/>
      <w:r w:rsidRPr="008F3AB1">
        <w:rPr>
          <w:rFonts w:eastAsiaTheme="minorEastAsia"/>
          <w:lang w:val="es-MX" w:eastAsia="es-ES"/>
        </w:rPr>
        <w:t>Participación ciudadana, acceso a la información y justicia ambiental</w:t>
      </w:r>
      <w:bookmarkEnd w:id="90"/>
    </w:p>
    <w:p w14:paraId="151ECB90" w14:textId="77777777" w:rsidR="00827A41" w:rsidRPr="008F3AB1" w:rsidRDefault="00827A41" w:rsidP="00827A41">
      <w:pPr>
        <w:rPr>
          <w:rFonts w:cs="Arial"/>
          <w:lang w:val="es-ES_tradnl" w:eastAsia="es-ES"/>
        </w:rPr>
      </w:pPr>
    </w:p>
    <w:p w14:paraId="59740E81" w14:textId="77777777" w:rsidR="00827A41" w:rsidRPr="008F3AB1" w:rsidRDefault="00827A41" w:rsidP="00827A41">
      <w:pPr>
        <w:rPr>
          <w:rStyle w:val="eop"/>
          <w:rFonts w:cs="Arial"/>
          <w:color w:val="000000"/>
          <w:shd w:val="clear" w:color="auto" w:fill="FFFFFF"/>
        </w:rPr>
      </w:pPr>
      <w:r w:rsidRPr="008F3AB1">
        <w:rPr>
          <w:rStyle w:val="normaltextrun"/>
          <w:rFonts w:cs="Arial"/>
          <w:color w:val="000000"/>
          <w:shd w:val="clear" w:color="auto" w:fill="FFFFFF"/>
        </w:rPr>
        <w:t>Todas las personas deben tener los mismo derechos y posibilidades de acceder a la información, la participación y la justicia para hacer valer sus derechos mediante procedimientos efectivos, oportunos, públicos, transparentes, imparciales y sin costos prohibitivos, desde el Acuerdo de Escazú se prevé tres aspectos fundamentales: El acceso a la información ambiental, la participación pública en los procesos de toma de decisiones ambientales y el daño ambiental o contravención de normas jurídicas relacionadas con el medio ambiente, o posibilidad de que esto ocurra.</w:t>
      </w:r>
      <w:r w:rsidRPr="008F3AB1">
        <w:rPr>
          <w:rStyle w:val="eop"/>
          <w:rFonts w:cs="Arial"/>
          <w:color w:val="000000"/>
          <w:shd w:val="clear" w:color="auto" w:fill="FFFFFF"/>
        </w:rPr>
        <w:t> </w:t>
      </w:r>
    </w:p>
    <w:p w14:paraId="545D57BC" w14:textId="77777777" w:rsidR="00827A41" w:rsidRPr="008F3AB1" w:rsidRDefault="00827A41" w:rsidP="00827A41">
      <w:pPr>
        <w:rPr>
          <w:rFonts w:cs="Arial"/>
          <w:lang w:val="es-MX"/>
        </w:rPr>
      </w:pPr>
      <w:r w:rsidRPr="008F3AB1">
        <w:rPr>
          <w:rFonts w:cs="Arial"/>
          <w:lang w:val="es-MX"/>
        </w:rPr>
        <w:lastRenderedPageBreak/>
        <w:t>En este sentido, las  autoridades ambientales en el marco de sus competencias confluirán con las entidades y las instancias que promueven el desarrollo rural y las buenas prácticas sostenibles a nivel nacional, departamental y municipal, para poner a disposición de los interesados la información de manera pública y amplia, mediante medios digitales, físicos o presenciales, y adicionalmente orientará, dará asistencia técnica y asesorará a los interesados durante cualquier etapa para el desarrollo del cultivo de aguacate en todas sus variedades, a fin de promover y garantizar el acceso a la información técnica relacionada con el uso de los recursos naturales y determinantes ambientales</w:t>
      </w:r>
    </w:p>
    <w:p w14:paraId="1BFB9E37" w14:textId="77777777" w:rsidR="00827A41" w:rsidRPr="008F3AB1" w:rsidRDefault="00827A41" w:rsidP="00827A41">
      <w:pPr>
        <w:spacing w:after="0"/>
        <w:textAlignment w:val="baseline"/>
        <w:rPr>
          <w:rFonts w:eastAsia="Times New Roman" w:cs="Arial"/>
        </w:rPr>
      </w:pPr>
    </w:p>
    <w:p w14:paraId="1EF1726F" w14:textId="77777777" w:rsidR="00827A41" w:rsidRPr="008F3AB1" w:rsidRDefault="00827A41" w:rsidP="00827A41">
      <w:pPr>
        <w:spacing w:after="0"/>
        <w:textAlignment w:val="baseline"/>
        <w:rPr>
          <w:rFonts w:eastAsia="Times New Roman" w:cs="Arial"/>
          <w:lang w:val="es-MX"/>
        </w:rPr>
      </w:pPr>
      <w:r w:rsidRPr="008F3AB1">
        <w:rPr>
          <w:rFonts w:eastAsia="Times New Roman" w:cs="Arial"/>
        </w:rPr>
        <w:t>Así mismo, la autoridad ambiental territorial deberá garantizar estrategias de participación ciudadana y acceso a la justicia ambiental, dentro de las que se pueden incluir:</w:t>
      </w:r>
      <w:r w:rsidRPr="008F3AB1">
        <w:rPr>
          <w:rFonts w:eastAsia="Times New Roman" w:cs="Arial"/>
          <w:lang w:val="es-MX"/>
        </w:rPr>
        <w:t> </w:t>
      </w:r>
    </w:p>
    <w:p w14:paraId="2FBFC69F" w14:textId="77777777" w:rsidR="00827A41" w:rsidRPr="008F3AB1" w:rsidRDefault="00827A41" w:rsidP="00827A41">
      <w:pPr>
        <w:spacing w:after="0"/>
        <w:textAlignment w:val="baseline"/>
        <w:rPr>
          <w:rFonts w:eastAsia="Times New Roman" w:cs="Arial"/>
          <w:lang w:val="es-MX"/>
        </w:rPr>
      </w:pPr>
    </w:p>
    <w:p w14:paraId="6B338160" w14:textId="77777777" w:rsidR="00827A41" w:rsidRPr="008F3AB1" w:rsidRDefault="00827A41" w:rsidP="005306CE">
      <w:pPr>
        <w:pStyle w:val="Prrafodelista"/>
        <w:widowControl/>
        <w:numPr>
          <w:ilvl w:val="0"/>
          <w:numId w:val="45"/>
        </w:numPr>
        <w:autoSpaceDE/>
        <w:autoSpaceDN/>
        <w:contextualSpacing/>
        <w:textAlignment w:val="baseline"/>
        <w:rPr>
          <w:rFonts w:eastAsia="Times New Roman"/>
          <w:lang w:val="es-MX"/>
        </w:rPr>
      </w:pPr>
      <w:r w:rsidRPr="008F3AB1">
        <w:rPr>
          <w:rFonts w:eastAsia="Times New Roman"/>
          <w:lang w:val="es-MX"/>
        </w:rPr>
        <w:t xml:space="preserve">Estrategias de difusión y educación en los mecanismos de participación existentes </w:t>
      </w:r>
    </w:p>
    <w:p w14:paraId="31F721E2" w14:textId="77777777" w:rsidR="00827A41" w:rsidRPr="008F3AB1" w:rsidRDefault="00827A41" w:rsidP="005306CE">
      <w:pPr>
        <w:numPr>
          <w:ilvl w:val="0"/>
          <w:numId w:val="45"/>
        </w:numPr>
        <w:spacing w:after="0"/>
        <w:ind w:left="360" w:firstLine="0"/>
        <w:textAlignment w:val="baseline"/>
        <w:rPr>
          <w:rFonts w:eastAsia="Times New Roman" w:cs="Arial"/>
          <w:lang w:val="es-MX"/>
        </w:rPr>
      </w:pPr>
      <w:r w:rsidRPr="008F3AB1">
        <w:rPr>
          <w:rFonts w:eastAsia="Times New Roman" w:cs="Arial"/>
        </w:rPr>
        <w:t>Canales de atención específicos para recibir peticiones, quejas, reclamos o sugerencias frente a las afectaciones ambientales y asegurar su trámite.</w:t>
      </w:r>
      <w:r w:rsidRPr="008F3AB1">
        <w:rPr>
          <w:rFonts w:eastAsia="Times New Roman" w:cs="Arial"/>
          <w:lang w:val="es-MX"/>
        </w:rPr>
        <w:t> </w:t>
      </w:r>
    </w:p>
    <w:p w14:paraId="70DBA50E" w14:textId="77777777" w:rsidR="00827A41" w:rsidRPr="008F3AB1" w:rsidRDefault="00827A41" w:rsidP="005306CE">
      <w:pPr>
        <w:pStyle w:val="Prrafodelista"/>
        <w:widowControl/>
        <w:numPr>
          <w:ilvl w:val="0"/>
          <w:numId w:val="45"/>
        </w:numPr>
        <w:autoSpaceDE/>
        <w:autoSpaceDN/>
        <w:contextualSpacing/>
        <w:textAlignment w:val="baseline"/>
        <w:rPr>
          <w:rFonts w:eastAsia="Times New Roman"/>
          <w:lang w:val="es-MX"/>
        </w:rPr>
      </w:pPr>
      <w:r w:rsidRPr="008F3AB1">
        <w:rPr>
          <w:rFonts w:eastAsia="Times New Roman"/>
          <w:lang w:val="es-CO"/>
        </w:rPr>
        <w:t>Activación de rutas en casos de amenaza o vulneración de derechos por el ejercicio de la defensa ambiental de la mano con alcaldías, gobernaciones y ministerio público.</w:t>
      </w:r>
      <w:r w:rsidRPr="008F3AB1">
        <w:rPr>
          <w:rFonts w:eastAsia="Times New Roman"/>
          <w:lang w:val="es-MX"/>
        </w:rPr>
        <w:t> </w:t>
      </w:r>
    </w:p>
    <w:p w14:paraId="3557EEA4" w14:textId="77777777" w:rsidR="00827A41" w:rsidRPr="008F3AB1" w:rsidRDefault="00827A41" w:rsidP="005306CE">
      <w:pPr>
        <w:pStyle w:val="Prrafodelista"/>
        <w:widowControl/>
        <w:numPr>
          <w:ilvl w:val="0"/>
          <w:numId w:val="45"/>
        </w:numPr>
        <w:autoSpaceDE/>
        <w:autoSpaceDN/>
        <w:contextualSpacing/>
        <w:textAlignment w:val="baseline"/>
        <w:rPr>
          <w:rFonts w:eastAsia="Times New Roman"/>
          <w:lang w:val="es-MX"/>
        </w:rPr>
      </w:pPr>
      <w:r w:rsidRPr="008F3AB1">
        <w:rPr>
          <w:rFonts w:eastAsia="Times New Roman"/>
          <w:lang w:val="es-CO"/>
        </w:rPr>
        <w:t>Mecanismos concertados con la ciudadanía, para la reparación de las comunidades afectadas.</w:t>
      </w:r>
      <w:r w:rsidRPr="008F3AB1">
        <w:rPr>
          <w:rFonts w:eastAsia="Times New Roman"/>
          <w:lang w:val="es-MX"/>
        </w:rPr>
        <w:t> </w:t>
      </w:r>
    </w:p>
    <w:p w14:paraId="096ADA6E" w14:textId="77777777" w:rsidR="00827A41" w:rsidRPr="008F3AB1" w:rsidRDefault="00827A41" w:rsidP="005306CE">
      <w:pPr>
        <w:pStyle w:val="Prrafodelista"/>
        <w:widowControl/>
        <w:numPr>
          <w:ilvl w:val="0"/>
          <w:numId w:val="45"/>
        </w:numPr>
        <w:autoSpaceDE/>
        <w:autoSpaceDN/>
        <w:contextualSpacing/>
        <w:textAlignment w:val="baseline"/>
        <w:rPr>
          <w:rStyle w:val="normaltextrun"/>
          <w:rFonts w:eastAsia="Times New Roman"/>
          <w:lang w:val="es-MX"/>
        </w:rPr>
      </w:pPr>
      <w:r w:rsidRPr="008F3AB1">
        <w:rPr>
          <w:rFonts w:eastAsia="Times New Roman"/>
          <w:lang w:val="es-MX"/>
        </w:rPr>
        <w:t xml:space="preserve">Las demás estrategias que la autoridad ambiental considere pertinentes para </w:t>
      </w:r>
      <w:r w:rsidRPr="008F3AB1">
        <w:rPr>
          <w:rStyle w:val="normaltextrun"/>
          <w:color w:val="000000"/>
          <w:shd w:val="clear" w:color="auto" w:fill="FFFFFF"/>
          <w:lang w:val="es-MX"/>
        </w:rPr>
        <w:t>fomentar la participación abierta e inclusiva en los procesos de toma de decisiones ambientales, contribuyendo a la prevención de conflictos ambientales y posibilitando la toma de decisiones informadas</w:t>
      </w:r>
    </w:p>
    <w:p w14:paraId="634A610F" w14:textId="77777777" w:rsidR="00827A41" w:rsidRPr="008F3AB1" w:rsidRDefault="00827A41" w:rsidP="00827A41">
      <w:pPr>
        <w:spacing w:after="0"/>
        <w:textAlignment w:val="baseline"/>
        <w:rPr>
          <w:rFonts w:eastAsia="Times New Roman" w:cs="Arial"/>
          <w:lang w:val="es-MX"/>
        </w:rPr>
      </w:pPr>
    </w:p>
    <w:p w14:paraId="377A7802" w14:textId="77777777" w:rsidR="00827A41" w:rsidRPr="008F3AB1" w:rsidRDefault="00827A41" w:rsidP="00827A41">
      <w:pPr>
        <w:spacing w:after="0"/>
        <w:textAlignment w:val="baseline"/>
        <w:rPr>
          <w:rFonts w:eastAsia="Times New Roman" w:cs="Arial"/>
          <w:lang w:val="es-MX"/>
        </w:rPr>
      </w:pPr>
      <w:r w:rsidRPr="008F3AB1">
        <w:rPr>
          <w:rFonts w:eastAsia="Times New Roman" w:cs="Arial"/>
        </w:rPr>
        <w:t>De igual manera, la autoridad ambiental territorial deberá garantizar estrategias para aumentar la vinculación de productores a procesos de negocios verdes asociados al cultivo de aguate en el marco de la política nacional de producción y consumo sostenible, dentro de las que se pueden incluir:</w:t>
      </w:r>
      <w:r w:rsidRPr="008F3AB1">
        <w:rPr>
          <w:rFonts w:eastAsia="Times New Roman" w:cs="Arial"/>
          <w:lang w:val="es-MX"/>
        </w:rPr>
        <w:t> </w:t>
      </w:r>
    </w:p>
    <w:p w14:paraId="705AAC5B" w14:textId="77777777" w:rsidR="00827A41" w:rsidRPr="008F3AB1" w:rsidRDefault="00827A41" w:rsidP="00827A41">
      <w:pPr>
        <w:spacing w:after="0"/>
        <w:textAlignment w:val="baseline"/>
        <w:rPr>
          <w:rFonts w:eastAsia="Times New Roman" w:cs="Arial"/>
          <w:lang w:val="es-MX"/>
        </w:rPr>
      </w:pPr>
    </w:p>
    <w:p w14:paraId="619311C6" w14:textId="77777777" w:rsidR="00827A41" w:rsidRPr="008F3AB1" w:rsidRDefault="00827A41" w:rsidP="005306CE">
      <w:pPr>
        <w:pStyle w:val="Prrafodelista"/>
        <w:widowControl/>
        <w:numPr>
          <w:ilvl w:val="0"/>
          <w:numId w:val="54"/>
        </w:numPr>
        <w:autoSpaceDE/>
        <w:autoSpaceDN/>
        <w:contextualSpacing/>
        <w:textAlignment w:val="baseline"/>
        <w:rPr>
          <w:rFonts w:eastAsia="Times New Roman"/>
          <w:sz w:val="24"/>
          <w:lang w:val="es-MX"/>
        </w:rPr>
      </w:pPr>
      <w:r w:rsidRPr="008F3AB1">
        <w:rPr>
          <w:szCs w:val="20"/>
          <w:lang w:val="es-MX"/>
        </w:rPr>
        <w:t xml:space="preserve">La ampliación de la capacidad de redes y programas de incubación y aceleración de emprendimientos verdes (p. ej. </w:t>
      </w:r>
      <w:r w:rsidRPr="008F3AB1">
        <w:rPr>
          <w:szCs w:val="20"/>
        </w:rPr>
        <w:t xml:space="preserve">Observatorio Nacional de Biocomercio). </w:t>
      </w:r>
    </w:p>
    <w:p w14:paraId="621DB65D" w14:textId="77777777" w:rsidR="00827A41" w:rsidRPr="008F3AB1" w:rsidRDefault="00827A41" w:rsidP="005306CE">
      <w:pPr>
        <w:pStyle w:val="Prrafodelista"/>
        <w:widowControl/>
        <w:numPr>
          <w:ilvl w:val="0"/>
          <w:numId w:val="54"/>
        </w:numPr>
        <w:autoSpaceDE/>
        <w:autoSpaceDN/>
        <w:contextualSpacing/>
        <w:textAlignment w:val="baseline"/>
        <w:rPr>
          <w:rFonts w:eastAsia="Times New Roman"/>
          <w:sz w:val="24"/>
          <w:lang w:val="es-MX"/>
        </w:rPr>
      </w:pPr>
      <w:r w:rsidRPr="008F3AB1">
        <w:rPr>
          <w:szCs w:val="20"/>
          <w:lang w:val="es-MX"/>
        </w:rPr>
        <w:t>El fortalecimiento de ferias, exposiciones y espacios de intercambio comercial de negocios verdes.</w:t>
      </w:r>
    </w:p>
    <w:p w14:paraId="28E9FB08" w14:textId="77777777" w:rsidR="00827A41" w:rsidRPr="008F3AB1" w:rsidRDefault="00827A41" w:rsidP="005306CE">
      <w:pPr>
        <w:pStyle w:val="Prrafodelista"/>
        <w:widowControl/>
        <w:numPr>
          <w:ilvl w:val="0"/>
          <w:numId w:val="54"/>
        </w:numPr>
        <w:autoSpaceDE/>
        <w:autoSpaceDN/>
        <w:contextualSpacing/>
        <w:textAlignment w:val="baseline"/>
        <w:rPr>
          <w:rFonts w:eastAsia="Times New Roman"/>
          <w:sz w:val="24"/>
          <w:lang w:val="es-MX"/>
        </w:rPr>
      </w:pPr>
      <w:r w:rsidRPr="008F3AB1">
        <w:rPr>
          <w:szCs w:val="20"/>
          <w:lang w:val="es-MX"/>
        </w:rPr>
        <w:t>La creación y articulación de fondos de inversión de capital semilla para negocios con alto potencial de éxito.</w:t>
      </w:r>
    </w:p>
    <w:p w14:paraId="3350354D" w14:textId="77777777" w:rsidR="00827A41" w:rsidRPr="008F3AB1" w:rsidRDefault="00827A41" w:rsidP="005306CE">
      <w:pPr>
        <w:pStyle w:val="Prrafodelista"/>
        <w:widowControl/>
        <w:numPr>
          <w:ilvl w:val="0"/>
          <w:numId w:val="54"/>
        </w:numPr>
        <w:autoSpaceDE/>
        <w:autoSpaceDN/>
        <w:contextualSpacing/>
        <w:textAlignment w:val="baseline"/>
        <w:rPr>
          <w:rFonts w:eastAsia="Times New Roman"/>
          <w:sz w:val="24"/>
          <w:lang w:val="es-MX"/>
        </w:rPr>
      </w:pPr>
      <w:r w:rsidRPr="008F3AB1">
        <w:rPr>
          <w:szCs w:val="20"/>
          <w:lang w:val="es-MX"/>
        </w:rPr>
        <w:t>El desarrollo de una plataforma de información pública sobre emprendimientos sostenibles (criterios, programas, portafolios, inversión y ventas).</w:t>
      </w:r>
    </w:p>
    <w:p w14:paraId="2719AB2F" w14:textId="77777777" w:rsidR="00827A41" w:rsidRPr="008F3AB1" w:rsidRDefault="00827A41" w:rsidP="005306CE">
      <w:pPr>
        <w:pStyle w:val="Prrafodelista"/>
        <w:widowControl/>
        <w:numPr>
          <w:ilvl w:val="0"/>
          <w:numId w:val="54"/>
        </w:numPr>
        <w:autoSpaceDE/>
        <w:autoSpaceDN/>
        <w:contextualSpacing/>
        <w:textAlignment w:val="baseline"/>
        <w:rPr>
          <w:rFonts w:eastAsia="Times New Roman"/>
          <w:sz w:val="24"/>
          <w:lang w:val="es-MX"/>
        </w:rPr>
      </w:pPr>
      <w:r w:rsidRPr="008F3AB1">
        <w:rPr>
          <w:szCs w:val="20"/>
          <w:lang w:val="es-MX"/>
        </w:rPr>
        <w:t>La articulación de concursos de planes de negocios enfocados hacia el emprendimiento de negocios verdes</w:t>
      </w:r>
    </w:p>
    <w:p w14:paraId="1EC8E63E" w14:textId="77777777" w:rsidR="00827A41" w:rsidRPr="008F3AB1" w:rsidRDefault="00827A41" w:rsidP="005306CE">
      <w:pPr>
        <w:pStyle w:val="Prrafodelista"/>
        <w:widowControl/>
        <w:numPr>
          <w:ilvl w:val="0"/>
          <w:numId w:val="54"/>
        </w:numPr>
        <w:autoSpaceDE/>
        <w:autoSpaceDN/>
        <w:contextualSpacing/>
        <w:textAlignment w:val="baseline"/>
        <w:rPr>
          <w:rFonts w:eastAsia="Times New Roman"/>
          <w:lang w:val="es-MX"/>
        </w:rPr>
      </w:pPr>
      <w:r w:rsidRPr="008F3AB1">
        <w:rPr>
          <w:lang w:val="es-MX"/>
        </w:rPr>
        <w:t xml:space="preserve">Desarrollo de agendas conjuntas de trabajo y revisión y/o ajuste de los convenios sectoriales de producción más limpia firmados como espacios de concertación. </w:t>
      </w:r>
    </w:p>
    <w:p w14:paraId="1C35ACE5" w14:textId="77777777" w:rsidR="00827A41" w:rsidRPr="008F3AB1" w:rsidRDefault="00827A41" w:rsidP="005306CE">
      <w:pPr>
        <w:pStyle w:val="Prrafodelista"/>
        <w:widowControl/>
        <w:numPr>
          <w:ilvl w:val="0"/>
          <w:numId w:val="54"/>
        </w:numPr>
        <w:autoSpaceDE/>
        <w:autoSpaceDN/>
        <w:contextualSpacing/>
        <w:textAlignment w:val="baseline"/>
        <w:rPr>
          <w:rFonts w:eastAsia="Times New Roman"/>
          <w:lang w:val="es-MX"/>
        </w:rPr>
      </w:pPr>
      <w:r w:rsidRPr="008F3AB1">
        <w:rPr>
          <w:lang w:val="es-MX"/>
        </w:rPr>
        <w:t xml:space="preserve">Gestión de la cooperación internacional para fortalecer los programas, proyectos y planes de producción y consumo sostenible. </w:t>
      </w:r>
    </w:p>
    <w:p w14:paraId="523694E6" w14:textId="77777777" w:rsidR="00827A41" w:rsidRPr="008F3AB1" w:rsidRDefault="00827A41" w:rsidP="005306CE">
      <w:pPr>
        <w:pStyle w:val="Prrafodelista"/>
        <w:widowControl/>
        <w:numPr>
          <w:ilvl w:val="0"/>
          <w:numId w:val="54"/>
        </w:numPr>
        <w:autoSpaceDE/>
        <w:autoSpaceDN/>
        <w:contextualSpacing/>
        <w:textAlignment w:val="baseline"/>
        <w:rPr>
          <w:rFonts w:eastAsia="Times New Roman"/>
          <w:lang w:val="es-MX"/>
        </w:rPr>
      </w:pPr>
      <w:r w:rsidRPr="008F3AB1">
        <w:rPr>
          <w:lang w:val="es-MX"/>
        </w:rPr>
        <w:t>Definición, desarrollo y seguimiento de indicadores que permitan medir los resultados y avances de la implementación de los lineamientos en materia ambiental.</w:t>
      </w:r>
    </w:p>
    <w:p w14:paraId="12FB0EE1" w14:textId="77777777" w:rsidR="00827A41" w:rsidRPr="008F3AB1" w:rsidRDefault="00827A41" w:rsidP="005306CE">
      <w:pPr>
        <w:pStyle w:val="Ttulo1"/>
        <w:keepNext/>
        <w:keepLines/>
        <w:widowControl/>
        <w:numPr>
          <w:ilvl w:val="2"/>
          <w:numId w:val="43"/>
        </w:numPr>
        <w:autoSpaceDE/>
        <w:autoSpaceDN/>
        <w:spacing w:before="240"/>
        <w:rPr>
          <w:rFonts w:eastAsiaTheme="minorEastAsia"/>
          <w:lang w:val="es-MX" w:eastAsia="es-ES"/>
        </w:rPr>
      </w:pPr>
      <w:bookmarkStart w:id="92" w:name="_Toc211877978"/>
      <w:r w:rsidRPr="008F3AB1">
        <w:rPr>
          <w:rFonts w:eastAsiaTheme="minorEastAsia"/>
          <w:lang w:val="es-MX" w:eastAsia="es-ES"/>
        </w:rPr>
        <w:lastRenderedPageBreak/>
        <w:t>Monitoreo y seguimiento</w:t>
      </w:r>
      <w:bookmarkEnd w:id="92"/>
    </w:p>
    <w:p w14:paraId="4476809D" w14:textId="77777777" w:rsidR="00827A41" w:rsidRPr="008F3AB1" w:rsidRDefault="00827A41" w:rsidP="00827A41">
      <w:pPr>
        <w:spacing w:after="0"/>
        <w:textAlignment w:val="baseline"/>
        <w:rPr>
          <w:rFonts w:eastAsia="Times New Roman" w:cs="Arial"/>
          <w:lang w:val="es-MX"/>
        </w:rPr>
      </w:pPr>
    </w:p>
    <w:p w14:paraId="1130EDB1" w14:textId="77777777" w:rsidR="00827A41" w:rsidRPr="008F3AB1" w:rsidRDefault="00827A41" w:rsidP="00827A41">
      <w:pPr>
        <w:spacing w:after="0"/>
        <w:textAlignment w:val="baseline"/>
        <w:rPr>
          <w:rFonts w:eastAsia="Times New Roman" w:cs="Arial"/>
          <w:lang w:val="es-MX"/>
        </w:rPr>
      </w:pPr>
      <w:r w:rsidRPr="008F3AB1">
        <w:rPr>
          <w:rFonts w:eastAsia="Times New Roman" w:cs="Arial"/>
          <w:lang w:val="es-MX"/>
        </w:rPr>
        <w:t>La autoridad ambiental deberá realizar el monitoreo y seguimiento a las condiciones establecidas en los permisos otorgados para el establecimiento del cultivo, al cumplimiento de las determinantes ambientales relacionadas con el área del proyecto, junto con la implementación de los presentes lineamientos. Para esto la autoridad ambiental puede requerir al productor un informe anual del cumplimiento de estos permisos y realizar las visitas técnicas que considere necesarias y demás herramientas disponibles para comando y control de la autoridad ambiental.</w:t>
      </w:r>
    </w:p>
    <w:p w14:paraId="3B63380E" w14:textId="77777777" w:rsidR="00827A41" w:rsidRPr="008F3AB1" w:rsidRDefault="00827A41" w:rsidP="00827A41">
      <w:pPr>
        <w:spacing w:after="0"/>
        <w:ind w:left="360"/>
        <w:textAlignment w:val="baseline"/>
        <w:rPr>
          <w:rFonts w:eastAsia="Times New Roman" w:cs="Arial"/>
          <w:lang w:val="es-MX"/>
        </w:rPr>
      </w:pPr>
    </w:p>
    <w:p w14:paraId="686A32A5" w14:textId="77777777" w:rsidR="00827A41" w:rsidRPr="008F3AB1" w:rsidRDefault="00827A41" w:rsidP="005306CE">
      <w:pPr>
        <w:pStyle w:val="Ttulo1"/>
        <w:keepNext/>
        <w:keepLines/>
        <w:widowControl/>
        <w:numPr>
          <w:ilvl w:val="1"/>
          <w:numId w:val="43"/>
        </w:numPr>
        <w:autoSpaceDE/>
        <w:autoSpaceDN/>
        <w:spacing w:before="240"/>
        <w:rPr>
          <w:rFonts w:eastAsiaTheme="minorEastAsia"/>
          <w:lang w:val="es-ES_tradnl" w:eastAsia="es-ES"/>
        </w:rPr>
      </w:pPr>
      <w:bookmarkStart w:id="93" w:name="_Toc211877979"/>
      <w:r w:rsidRPr="008F3AB1">
        <w:rPr>
          <w:rFonts w:eastAsiaTheme="minorEastAsia"/>
          <w:lang w:val="es-ES_tradnl" w:eastAsia="es-ES"/>
        </w:rPr>
        <w:t>RECOMENDACIONES DE CARÁCTER AMBIENTAL PARA LA EXPORTACIÓN</w:t>
      </w:r>
      <w:bookmarkEnd w:id="91"/>
      <w:bookmarkEnd w:id="93"/>
    </w:p>
    <w:p w14:paraId="4D25E1AC" w14:textId="77777777" w:rsidR="00827A41" w:rsidRPr="008F3AB1" w:rsidRDefault="00827A41" w:rsidP="00827A41">
      <w:pPr>
        <w:rPr>
          <w:rFonts w:cs="Arial"/>
          <w:lang w:eastAsia="es-ES"/>
        </w:rPr>
      </w:pPr>
    </w:p>
    <w:p w14:paraId="414F5562" w14:textId="77777777" w:rsidR="00827A41" w:rsidRPr="008F3AB1" w:rsidRDefault="00827A41" w:rsidP="00827A41">
      <w:pPr>
        <w:rPr>
          <w:rFonts w:cs="Arial"/>
          <w:lang w:eastAsia="es-ES"/>
        </w:rPr>
      </w:pPr>
      <w:r w:rsidRPr="008F3AB1">
        <w:rPr>
          <w:rFonts w:cs="Arial"/>
          <w:lang w:eastAsia="es-ES"/>
        </w:rPr>
        <w:t xml:space="preserve">La autoridad ambiental territorial en el marco de las obligaciones establecidas en el numeral 8 del artículo 31 de la ley 99 de 1993, puede generar procesos de educación ambiental para la implementación de buenas prácticas ambientales dirigidas a los productores como una estrategia para acceder a mercados o mantener una demanda estable por parte de los compradores y resaltar la importancia del cumplimiento de los requerimientos ambientales y sociales. </w:t>
      </w:r>
    </w:p>
    <w:p w14:paraId="1B8B5889" w14:textId="77777777" w:rsidR="00827A41" w:rsidRPr="008F3AB1" w:rsidRDefault="00827A41" w:rsidP="00827A41">
      <w:pPr>
        <w:rPr>
          <w:rFonts w:cs="Arial"/>
          <w:lang w:eastAsia="es-ES"/>
        </w:rPr>
      </w:pPr>
      <w:r w:rsidRPr="008F3AB1">
        <w:rPr>
          <w:rFonts w:cs="Arial"/>
          <w:lang w:eastAsia="es-ES"/>
        </w:rPr>
        <w:t xml:space="preserve">Actualmente, todo predio orientado al mercado exportador debe, como mínimo, cumplir con el siguiente registro: </w:t>
      </w:r>
    </w:p>
    <w:p w14:paraId="4BD041A2" w14:textId="77777777" w:rsidR="00827A41" w:rsidRPr="008F3AB1" w:rsidRDefault="00827A41" w:rsidP="005306CE">
      <w:pPr>
        <w:pStyle w:val="Prrafodelista"/>
        <w:widowControl/>
        <w:numPr>
          <w:ilvl w:val="0"/>
          <w:numId w:val="6"/>
        </w:numPr>
        <w:autoSpaceDE/>
        <w:autoSpaceDN/>
        <w:spacing w:after="160"/>
        <w:contextualSpacing/>
        <w:rPr>
          <w:lang w:val="es-MX" w:eastAsia="es-ES"/>
        </w:rPr>
      </w:pPr>
      <w:r w:rsidRPr="008F3AB1">
        <w:rPr>
          <w:lang w:val="es-MX" w:eastAsia="es-ES"/>
        </w:rPr>
        <w:t xml:space="preserve">Registro de predio exportador del ICA: </w:t>
      </w:r>
    </w:p>
    <w:p w14:paraId="0F72B0BB" w14:textId="77777777" w:rsidR="00827A41" w:rsidRPr="008F3AB1" w:rsidRDefault="00827A41" w:rsidP="00827A41">
      <w:pPr>
        <w:rPr>
          <w:rFonts w:cs="Arial"/>
          <w:bCs/>
          <w:lang w:eastAsia="es-ES"/>
        </w:rPr>
      </w:pPr>
      <w:r w:rsidRPr="008F3AB1">
        <w:rPr>
          <w:rFonts w:cs="Arial"/>
          <w:b/>
          <w:lang w:eastAsia="es-ES"/>
        </w:rPr>
        <w:t>Resolución 824 de 2022</w:t>
      </w:r>
      <w:r w:rsidRPr="008F3AB1">
        <w:rPr>
          <w:rFonts w:cs="Arial"/>
          <w:bCs/>
          <w:lang w:eastAsia="es-ES"/>
        </w:rPr>
        <w:t>. “Por la cual se establecen los requisitos para el registro ante el ICA de los lugares de producción, exportadores y empacadoras de vegetales para la exportación en fresco”</w:t>
      </w:r>
    </w:p>
    <w:p w14:paraId="3DF2B759" w14:textId="77777777" w:rsidR="00827A41" w:rsidRPr="008F3AB1" w:rsidRDefault="00827A41" w:rsidP="00827A41">
      <w:pPr>
        <w:rPr>
          <w:rFonts w:cs="Arial"/>
          <w:bCs/>
          <w:lang w:eastAsia="es-ES"/>
        </w:rPr>
      </w:pPr>
      <w:r w:rsidRPr="008F3AB1">
        <w:rPr>
          <w:rFonts w:cs="Arial"/>
          <w:bCs/>
          <w:lang w:eastAsia="es-ES"/>
        </w:rPr>
        <w:t>De otro lado, existen certificaciones voluntarias de buenas prácticas que buscan demostrar el cumplimiento de los predios productores respecto de éstas, entre las cuales se destacan:</w:t>
      </w:r>
    </w:p>
    <w:p w14:paraId="23709AC4" w14:textId="77777777" w:rsidR="00827A41" w:rsidRPr="008F3AB1" w:rsidRDefault="00827A41" w:rsidP="005306CE">
      <w:pPr>
        <w:pStyle w:val="Prrafodelista"/>
        <w:widowControl/>
        <w:numPr>
          <w:ilvl w:val="0"/>
          <w:numId w:val="6"/>
        </w:numPr>
        <w:autoSpaceDE/>
        <w:autoSpaceDN/>
        <w:spacing w:after="160"/>
        <w:contextualSpacing/>
        <w:rPr>
          <w:lang w:eastAsia="es-ES"/>
        </w:rPr>
      </w:pPr>
      <w:r w:rsidRPr="008F3AB1">
        <w:rPr>
          <w:lang w:eastAsia="es-ES"/>
        </w:rPr>
        <w:t>Buenas Prácticas Agrícolas del ICA</w:t>
      </w:r>
    </w:p>
    <w:p w14:paraId="31EE04FB" w14:textId="77777777" w:rsidR="00827A41" w:rsidRPr="008F3AB1" w:rsidRDefault="00827A41" w:rsidP="00827A41">
      <w:pPr>
        <w:keepNext/>
        <w:spacing w:line="276" w:lineRule="auto"/>
        <w:rPr>
          <w:rFonts w:cs="Arial"/>
          <w:lang w:eastAsia="es-ES"/>
        </w:rPr>
      </w:pPr>
      <w:r w:rsidRPr="008F3AB1">
        <w:rPr>
          <w:rFonts w:cs="Arial"/>
          <w:b/>
          <w:lang w:eastAsia="es-ES"/>
        </w:rPr>
        <w:t>Resolución 30021 de 2017, modificada parcialmente por la Resolución 82394 de 2020</w:t>
      </w:r>
      <w:r w:rsidRPr="008F3AB1">
        <w:rPr>
          <w:rFonts w:cs="Arial"/>
          <w:lang w:eastAsia="es-ES"/>
        </w:rPr>
        <w:t xml:space="preserve"> “Por medio del cual se establecen los requisitos para la certificación en Buenas Prácticas Agrícolas en producción primaria de vegetales y otras especies para consumo humano</w:t>
      </w:r>
    </w:p>
    <w:p w14:paraId="1341D85E" w14:textId="77777777" w:rsidR="00827A41" w:rsidRPr="008F3AB1" w:rsidRDefault="00827A41" w:rsidP="005306CE">
      <w:pPr>
        <w:pStyle w:val="Prrafodelista"/>
        <w:widowControl/>
        <w:numPr>
          <w:ilvl w:val="0"/>
          <w:numId w:val="7"/>
        </w:numPr>
        <w:adjustRightInd w:val="0"/>
        <w:spacing w:line="276" w:lineRule="auto"/>
        <w:contextualSpacing/>
        <w:rPr>
          <w:b/>
          <w:bCs/>
          <w:lang w:val="es-MX"/>
        </w:rPr>
      </w:pPr>
      <w:r w:rsidRPr="008F3AB1">
        <w:rPr>
          <w:b/>
          <w:bCs/>
          <w:lang w:val="es-MX" w:eastAsia="es-ES"/>
        </w:rPr>
        <w:t xml:space="preserve">CERTIFICACIÓN GLOBAL G.A.P. </w:t>
      </w:r>
    </w:p>
    <w:p w14:paraId="6016570D" w14:textId="77777777" w:rsidR="00827A41" w:rsidRPr="008F3AB1" w:rsidRDefault="00827A41" w:rsidP="00827A41">
      <w:pPr>
        <w:pStyle w:val="Prrafodelista"/>
        <w:adjustRightInd w:val="0"/>
        <w:spacing w:line="276" w:lineRule="auto"/>
        <w:rPr>
          <w:lang w:val="es-MX"/>
        </w:rPr>
      </w:pPr>
    </w:p>
    <w:p w14:paraId="541683CF" w14:textId="77777777" w:rsidR="00827A41" w:rsidRPr="008F3AB1" w:rsidRDefault="00827A41" w:rsidP="00827A41">
      <w:pPr>
        <w:autoSpaceDE w:val="0"/>
        <w:autoSpaceDN w:val="0"/>
        <w:adjustRightInd w:val="0"/>
        <w:spacing w:after="0"/>
        <w:rPr>
          <w:rFonts w:cs="Arial"/>
        </w:rPr>
      </w:pPr>
      <w:r w:rsidRPr="008F3AB1">
        <w:rPr>
          <w:rFonts w:cs="Arial"/>
        </w:rPr>
        <w:t xml:space="preserve">Busca incentivar a los productores a proveer productos inocuos que aseguren mejorar la calidad de vida de los consumidores desde la producción primaria. </w:t>
      </w:r>
    </w:p>
    <w:p w14:paraId="7ECB803A" w14:textId="77777777" w:rsidR="00827A41" w:rsidRPr="008F3AB1" w:rsidRDefault="00827A41" w:rsidP="00827A41">
      <w:pPr>
        <w:autoSpaceDE w:val="0"/>
        <w:autoSpaceDN w:val="0"/>
        <w:adjustRightInd w:val="0"/>
        <w:spacing w:after="0"/>
        <w:rPr>
          <w:rFonts w:cs="Arial"/>
        </w:rPr>
      </w:pPr>
    </w:p>
    <w:p w14:paraId="60031DB7" w14:textId="77777777" w:rsidR="00827A41" w:rsidRPr="008F3AB1" w:rsidRDefault="00827A41" w:rsidP="00827A41">
      <w:pPr>
        <w:autoSpaceDE w:val="0"/>
        <w:autoSpaceDN w:val="0"/>
        <w:adjustRightInd w:val="0"/>
        <w:spacing w:after="0"/>
        <w:ind w:left="360"/>
        <w:rPr>
          <w:rFonts w:cs="Arial"/>
        </w:rPr>
      </w:pPr>
      <w:r w:rsidRPr="008F3AB1">
        <w:rPr>
          <w:rFonts w:cs="Arial"/>
        </w:rPr>
        <w:t>La certificación cubre:</w:t>
      </w:r>
    </w:p>
    <w:p w14:paraId="7297DE01" w14:textId="77777777" w:rsidR="00827A41" w:rsidRPr="008F3AB1" w:rsidRDefault="00827A41" w:rsidP="00827A41">
      <w:pPr>
        <w:pStyle w:val="Prrafodelista"/>
        <w:adjustRightInd w:val="0"/>
      </w:pPr>
    </w:p>
    <w:p w14:paraId="472CB51D" w14:textId="77777777" w:rsidR="00827A41" w:rsidRPr="008F3AB1" w:rsidRDefault="00827A41" w:rsidP="005306CE">
      <w:pPr>
        <w:pStyle w:val="Prrafodelista"/>
        <w:widowControl/>
        <w:numPr>
          <w:ilvl w:val="0"/>
          <w:numId w:val="5"/>
        </w:numPr>
        <w:adjustRightInd w:val="0"/>
        <w:contextualSpacing/>
      </w:pPr>
      <w:r w:rsidRPr="008F3AB1">
        <w:t>Seguridad alimentaria y trazabilidad</w:t>
      </w:r>
    </w:p>
    <w:p w14:paraId="192CF0FB" w14:textId="77777777" w:rsidR="00827A41" w:rsidRPr="008F3AB1" w:rsidRDefault="00827A41" w:rsidP="005306CE">
      <w:pPr>
        <w:pStyle w:val="Prrafodelista"/>
        <w:widowControl/>
        <w:numPr>
          <w:ilvl w:val="0"/>
          <w:numId w:val="5"/>
        </w:numPr>
        <w:adjustRightInd w:val="0"/>
        <w:contextualSpacing/>
        <w:rPr>
          <w:lang w:val="es-MX"/>
        </w:rPr>
      </w:pPr>
      <w:r w:rsidRPr="008F3AB1">
        <w:rPr>
          <w:lang w:val="es-MX"/>
        </w:rPr>
        <w:t>Medio ambiente (incluida la biodiversidad)</w:t>
      </w:r>
    </w:p>
    <w:p w14:paraId="6C257FAF" w14:textId="77777777" w:rsidR="00827A41" w:rsidRPr="008F3AB1" w:rsidRDefault="00827A41" w:rsidP="005306CE">
      <w:pPr>
        <w:pStyle w:val="Prrafodelista"/>
        <w:widowControl/>
        <w:numPr>
          <w:ilvl w:val="0"/>
          <w:numId w:val="5"/>
        </w:numPr>
        <w:adjustRightInd w:val="0"/>
        <w:contextualSpacing/>
        <w:rPr>
          <w:lang w:val="es-MX"/>
        </w:rPr>
      </w:pPr>
      <w:r w:rsidRPr="008F3AB1">
        <w:rPr>
          <w:lang w:val="es-MX"/>
        </w:rPr>
        <w:lastRenderedPageBreak/>
        <w:t>Salud, seguridad y bienestar de los trabajadores</w:t>
      </w:r>
    </w:p>
    <w:p w14:paraId="75A046BF" w14:textId="77777777" w:rsidR="00827A41" w:rsidRPr="008F3AB1" w:rsidRDefault="00827A41" w:rsidP="005306CE">
      <w:pPr>
        <w:pStyle w:val="Prrafodelista"/>
        <w:widowControl/>
        <w:numPr>
          <w:ilvl w:val="0"/>
          <w:numId w:val="5"/>
        </w:numPr>
        <w:adjustRightInd w:val="0"/>
        <w:contextualSpacing/>
      </w:pPr>
      <w:r w:rsidRPr="008F3AB1">
        <w:t>Bienestar de los animales</w:t>
      </w:r>
    </w:p>
    <w:p w14:paraId="20C6F610" w14:textId="77777777" w:rsidR="00827A41" w:rsidRPr="008F3AB1" w:rsidRDefault="00827A41" w:rsidP="005306CE">
      <w:pPr>
        <w:pStyle w:val="Prrafodelista"/>
        <w:widowControl/>
        <w:numPr>
          <w:ilvl w:val="0"/>
          <w:numId w:val="5"/>
        </w:numPr>
        <w:adjustRightInd w:val="0"/>
        <w:contextualSpacing/>
        <w:rPr>
          <w:lang w:val="es-MX"/>
        </w:rPr>
      </w:pPr>
      <w:r w:rsidRPr="008F3AB1">
        <w:rPr>
          <w:lang w:val="es-MX"/>
        </w:rPr>
        <w:t>Incluye Manejo Integrado de Cultivos (ICM), Control Integrado de Plagas (IPC),</w:t>
      </w:r>
    </w:p>
    <w:p w14:paraId="0BDA9437" w14:textId="77777777" w:rsidR="00827A41" w:rsidRPr="008F3AB1" w:rsidRDefault="00827A41" w:rsidP="005306CE">
      <w:pPr>
        <w:pStyle w:val="Prrafodelista"/>
        <w:widowControl/>
        <w:numPr>
          <w:ilvl w:val="0"/>
          <w:numId w:val="5"/>
        </w:numPr>
        <w:adjustRightInd w:val="0"/>
        <w:contextualSpacing/>
        <w:rPr>
          <w:lang w:val="es-MX"/>
        </w:rPr>
      </w:pPr>
      <w:r w:rsidRPr="008F3AB1">
        <w:rPr>
          <w:lang w:val="es-MX"/>
        </w:rPr>
        <w:t>Sistema de Gestión de Calidad (QMS) y Análisis de Peligros y Puntos Críticos de Control (HACCP)</w:t>
      </w:r>
    </w:p>
    <w:p w14:paraId="5B74B1A2" w14:textId="77777777" w:rsidR="00827A41" w:rsidRPr="008F3AB1" w:rsidRDefault="00827A41" w:rsidP="00827A41">
      <w:pPr>
        <w:pStyle w:val="Prrafodelista"/>
        <w:adjustRightInd w:val="0"/>
        <w:rPr>
          <w:lang w:val="es-MX"/>
        </w:rPr>
      </w:pPr>
    </w:p>
    <w:p w14:paraId="26CF81C6" w14:textId="77777777" w:rsidR="00827A41" w:rsidRPr="008F3AB1" w:rsidRDefault="00827A41" w:rsidP="00827A41">
      <w:pPr>
        <w:rPr>
          <w:rFonts w:cs="Arial"/>
        </w:rPr>
      </w:pPr>
      <w:r w:rsidRPr="008F3AB1">
        <w:rPr>
          <w:rFonts w:cs="Arial"/>
        </w:rPr>
        <w:t>El estándar exige, entre otras cosas, una mayor eficiencia en la producción, mejoras en el rendimiento empresarial y reducción del desperdicio de recursos vitales. También requiere un enfoque general de la agricultura que se base en las mejores prácticas para las generaciones venideras.</w:t>
      </w:r>
      <w:sdt>
        <w:sdtPr>
          <w:rPr>
            <w:rFonts w:cs="Arial"/>
          </w:rPr>
          <w:id w:val="202832168"/>
          <w:citation/>
        </w:sdtPr>
        <w:sdtContent>
          <w:r w:rsidRPr="008F3AB1">
            <w:rPr>
              <w:rFonts w:cs="Arial"/>
            </w:rPr>
            <w:fldChar w:fldCharType="begin"/>
          </w:r>
          <w:r w:rsidRPr="008F3AB1">
            <w:rPr>
              <w:rFonts w:cs="Arial"/>
            </w:rPr>
            <w:instrText xml:space="preserve">CITATION pag \l 3082 </w:instrText>
          </w:r>
          <w:r w:rsidRPr="008F3AB1">
            <w:rPr>
              <w:rFonts w:cs="Arial"/>
            </w:rPr>
            <w:fldChar w:fldCharType="separate"/>
          </w:r>
          <w:r w:rsidRPr="008F3AB1">
            <w:rPr>
              <w:rFonts w:cs="Arial"/>
              <w:noProof/>
            </w:rPr>
            <w:t xml:space="preserve"> (pagina oficial globalgap.org, s.f.)</w:t>
          </w:r>
          <w:r w:rsidRPr="008F3AB1">
            <w:rPr>
              <w:rFonts w:cs="Arial"/>
            </w:rPr>
            <w:fldChar w:fldCharType="end"/>
          </w:r>
        </w:sdtContent>
      </w:sdt>
      <w:r w:rsidRPr="008F3AB1">
        <w:rPr>
          <w:rFonts w:cs="Arial"/>
        </w:rPr>
        <w:t xml:space="preserve"> </w:t>
      </w:r>
    </w:p>
    <w:p w14:paraId="01B24E51" w14:textId="77777777" w:rsidR="00827A41" w:rsidRPr="008F3AB1" w:rsidRDefault="00827A41" w:rsidP="005306CE">
      <w:pPr>
        <w:pStyle w:val="Prrafodelista"/>
        <w:widowControl/>
        <w:numPr>
          <w:ilvl w:val="0"/>
          <w:numId w:val="4"/>
        </w:numPr>
        <w:adjustRightInd w:val="0"/>
        <w:spacing w:line="276" w:lineRule="auto"/>
        <w:contextualSpacing/>
        <w:rPr>
          <w:b/>
          <w:bCs/>
        </w:rPr>
      </w:pPr>
      <w:r w:rsidRPr="008F3AB1">
        <w:rPr>
          <w:b/>
          <w:bCs/>
        </w:rPr>
        <w:t>RAINFOREST ALLIANCE CERTIFIED</w:t>
      </w:r>
    </w:p>
    <w:p w14:paraId="3073348C" w14:textId="77777777" w:rsidR="00827A41" w:rsidRPr="008F3AB1" w:rsidRDefault="00827A41" w:rsidP="00827A41">
      <w:pPr>
        <w:autoSpaceDE w:val="0"/>
        <w:autoSpaceDN w:val="0"/>
        <w:adjustRightInd w:val="0"/>
        <w:spacing w:after="0" w:line="276" w:lineRule="auto"/>
        <w:rPr>
          <w:rFonts w:cs="Arial"/>
          <w:b/>
          <w:bCs/>
          <w:lang w:val="en-US"/>
        </w:rPr>
      </w:pPr>
    </w:p>
    <w:p w14:paraId="4EB39E66" w14:textId="77777777" w:rsidR="00827A41" w:rsidRPr="008F3AB1" w:rsidRDefault="00827A41" w:rsidP="00827A41">
      <w:pPr>
        <w:rPr>
          <w:rFonts w:cs="Arial"/>
        </w:rPr>
      </w:pPr>
      <w:r w:rsidRPr="008F3AB1">
        <w:rPr>
          <w:rFonts w:cs="Arial"/>
          <w:strike/>
        </w:rPr>
        <w:t>Esta norma</w:t>
      </w:r>
      <w:r w:rsidRPr="008F3AB1">
        <w:rPr>
          <w:rFonts w:cs="Arial"/>
        </w:rPr>
        <w:t xml:space="preserve"> Este  sello de sostenibilidad internacional certifica que la producción agrícola de un producto específico protege los ecosistemas y los recursos naturales (flora, fauna, suelo y agua) y mantiene las buenas prácticas de manejo ambiental y social, optimizando el uso de los productos fitosanitarios y gestionando de manera adecuada los residuos </w:t>
      </w:r>
      <w:r w:rsidRPr="008F3AB1">
        <w:rPr>
          <w:rFonts w:cs="Arial"/>
          <w:lang w:eastAsia="es-ES"/>
        </w:rPr>
        <w:t>(Fuente, año).</w:t>
      </w:r>
    </w:p>
    <w:p w14:paraId="6DC10117" w14:textId="77777777" w:rsidR="00827A41" w:rsidRPr="008F3AB1" w:rsidRDefault="00827A41" w:rsidP="005306CE">
      <w:pPr>
        <w:pStyle w:val="Prrafodelista"/>
        <w:widowControl/>
        <w:numPr>
          <w:ilvl w:val="0"/>
          <w:numId w:val="4"/>
        </w:numPr>
        <w:adjustRightInd w:val="0"/>
        <w:spacing w:line="276" w:lineRule="auto"/>
        <w:contextualSpacing/>
      </w:pPr>
      <w:r w:rsidRPr="008F3AB1">
        <w:rPr>
          <w:b/>
          <w:bCs/>
        </w:rPr>
        <w:t>FAIRTRADE INTERNACIONAL</w:t>
      </w:r>
    </w:p>
    <w:p w14:paraId="2053B45C" w14:textId="77777777" w:rsidR="00827A41" w:rsidRPr="008F3AB1" w:rsidRDefault="00827A41" w:rsidP="00827A41">
      <w:pPr>
        <w:autoSpaceDE w:val="0"/>
        <w:autoSpaceDN w:val="0"/>
        <w:adjustRightInd w:val="0"/>
        <w:spacing w:after="0" w:line="276" w:lineRule="auto"/>
        <w:rPr>
          <w:rFonts w:cs="Arial"/>
        </w:rPr>
      </w:pPr>
    </w:p>
    <w:p w14:paraId="463B0191" w14:textId="77777777" w:rsidR="00827A41" w:rsidRPr="008F3AB1" w:rsidRDefault="00827A41" w:rsidP="00827A41">
      <w:pPr>
        <w:autoSpaceDE w:val="0"/>
        <w:autoSpaceDN w:val="0"/>
        <w:adjustRightInd w:val="0"/>
        <w:spacing w:after="0"/>
        <w:rPr>
          <w:rFonts w:cs="Arial"/>
        </w:rPr>
      </w:pPr>
      <w:r w:rsidRPr="008F3AB1">
        <w:rPr>
          <w:rFonts w:cs="Arial"/>
        </w:rPr>
        <w:t xml:space="preserve">El sello FAIRTRADE en un producto significa que productores y empresas han cumplido los estrictos criterios sociales, económicos y ambientales. Incluye el precio mínimo Fairtrade, una prima fija, que aporta dinero adicional a agricultores y trabajadores para invertir en mejoras a la calidad de sus negocios y comunidades. Fomentan la gestión responsable del agua y los residuos, la preservación de la biodiversidad y la fertilidad del suelo, y la aplicación mínima de plaguicidas y agroquímicos. Fairtrade prohíbe el uso de varios materiales peligrosos y de todos los organismos modificados genéticamente (OMG). En lo social, requieren que las empresas operen con prácticas de empleo no discriminatorias, salarios iguales o superiores al salario mínimo legal, derechos de asociación libre, seguridad, salud en el trabajo y negociación colectiva para la fuerza laboral. </w:t>
      </w:r>
    </w:p>
    <w:p w14:paraId="60B7F0D7" w14:textId="77777777" w:rsidR="00827A41" w:rsidRPr="008F3AB1" w:rsidRDefault="00827A41" w:rsidP="00827A41">
      <w:pPr>
        <w:spacing w:line="276" w:lineRule="auto"/>
        <w:rPr>
          <w:rFonts w:cs="Arial"/>
          <w:lang w:eastAsia="es-ES"/>
        </w:rPr>
      </w:pPr>
    </w:p>
    <w:p w14:paraId="0B9F47CB" w14:textId="41B301C5" w:rsidR="00827A41" w:rsidRPr="008F3AB1" w:rsidRDefault="00827A41" w:rsidP="00827A41">
      <w:pPr>
        <w:spacing w:after="0"/>
        <w:ind w:right="283"/>
        <w:contextualSpacing/>
        <w:rPr>
          <w:rFonts w:cs="Arial"/>
        </w:rPr>
      </w:pPr>
      <w:r w:rsidRPr="008F3AB1">
        <w:rPr>
          <w:rFonts w:cs="Arial"/>
        </w:rPr>
        <w:t>La autoridad ambiental podrá coordinar con las entidades del sector agropecuario y las entidades territoriales los procesos de implementación de los lineamientos para el fortalecimiento de los productores en la integración de buenas prácticas para aperturas de mercados internacionales en la producción agrícola existente hacia esquemas de producción sostenible.</w:t>
      </w:r>
    </w:p>
    <w:p w14:paraId="7891E87F" w14:textId="77777777" w:rsidR="00827A41" w:rsidRPr="008F3AB1" w:rsidRDefault="00827A41" w:rsidP="00827A41">
      <w:pPr>
        <w:spacing w:line="276" w:lineRule="auto"/>
        <w:rPr>
          <w:rFonts w:eastAsiaTheme="minorEastAsia" w:cs="Arial"/>
          <w:b/>
          <w:sz w:val="24"/>
          <w:szCs w:val="32"/>
          <w:lang w:val="es-ES_tradnl" w:eastAsia="es-ES"/>
        </w:rPr>
      </w:pPr>
      <w:bookmarkStart w:id="94" w:name="_Toc104385051"/>
      <w:r w:rsidRPr="008F3AB1">
        <w:rPr>
          <w:rFonts w:eastAsiaTheme="minorEastAsia" w:cs="Arial"/>
          <w:lang w:val="es-ES_tradnl" w:eastAsia="es-ES"/>
        </w:rPr>
        <w:br w:type="page"/>
      </w:r>
    </w:p>
    <w:p w14:paraId="1091415B" w14:textId="77777777" w:rsidR="00827A41" w:rsidRPr="008F3AB1" w:rsidRDefault="00827A41" w:rsidP="005306CE">
      <w:pPr>
        <w:pStyle w:val="Ttulo1"/>
        <w:keepNext/>
        <w:keepLines/>
        <w:widowControl/>
        <w:numPr>
          <w:ilvl w:val="0"/>
          <w:numId w:val="43"/>
        </w:numPr>
        <w:autoSpaceDE/>
        <w:autoSpaceDN/>
        <w:spacing w:before="240"/>
        <w:rPr>
          <w:rFonts w:eastAsiaTheme="minorEastAsia"/>
          <w:lang w:val="es-ES_tradnl" w:eastAsia="es-ES"/>
        </w:rPr>
      </w:pPr>
      <w:bookmarkStart w:id="95" w:name="_Toc211877980"/>
      <w:r w:rsidRPr="008F3AB1">
        <w:rPr>
          <w:rFonts w:eastAsiaTheme="minorEastAsia"/>
          <w:lang w:val="es-ES_tradnl" w:eastAsia="es-ES"/>
        </w:rPr>
        <w:lastRenderedPageBreak/>
        <w:t>MARCO NORMATIVO</w:t>
      </w:r>
      <w:bookmarkEnd w:id="95"/>
    </w:p>
    <w:p w14:paraId="2F850538" w14:textId="77777777" w:rsidR="00827A41" w:rsidRPr="008F3AB1" w:rsidRDefault="00827A41" w:rsidP="00827A41">
      <w:pPr>
        <w:rPr>
          <w:rFonts w:cs="Arial"/>
        </w:rPr>
      </w:pPr>
    </w:p>
    <w:p w14:paraId="1D2601EC" w14:textId="4291DFA4" w:rsidR="00827A41" w:rsidRPr="008F3AB1" w:rsidRDefault="00827A41" w:rsidP="00827A41">
      <w:pPr>
        <w:rPr>
          <w:rFonts w:cs="Arial"/>
        </w:rPr>
      </w:pPr>
      <w:r w:rsidRPr="008F3AB1">
        <w:rPr>
          <w:rFonts w:cs="Arial"/>
        </w:rPr>
        <w:t>El contexto jurídico bajo el cual se sustentan los lineamientos para la producción agrícola sostenible en Colombia, especialmente de aguacate, se desarrolla en la siguiente tabla que describe los instrumentos jurídicos que aplican a este tema.</w:t>
      </w:r>
    </w:p>
    <w:p w14:paraId="562486A3" w14:textId="7B6D3C5B" w:rsidR="00827A41" w:rsidRPr="008F3AB1" w:rsidRDefault="00827A41" w:rsidP="00827A41">
      <w:pPr>
        <w:pStyle w:val="Descripcin"/>
        <w:keepNext/>
        <w:rPr>
          <w:rFonts w:cs="Arial"/>
          <w:strike/>
        </w:rPr>
      </w:pPr>
      <w:bookmarkStart w:id="96" w:name="_Toc211877985"/>
      <w:r w:rsidRPr="008F3AB1">
        <w:rPr>
          <w:rFonts w:cs="Arial"/>
        </w:rPr>
        <w:t xml:space="preserve">Tabla </w:t>
      </w:r>
      <w:r w:rsidRPr="008F3AB1">
        <w:rPr>
          <w:rFonts w:cs="Arial"/>
        </w:rPr>
        <w:fldChar w:fldCharType="begin"/>
      </w:r>
      <w:r w:rsidRPr="008F3AB1">
        <w:rPr>
          <w:rFonts w:cs="Arial"/>
        </w:rPr>
        <w:instrText>SEQ Tabla \* ARABIC</w:instrText>
      </w:r>
      <w:r w:rsidRPr="008F3AB1">
        <w:rPr>
          <w:rFonts w:cs="Arial"/>
        </w:rPr>
        <w:fldChar w:fldCharType="separate"/>
      </w:r>
      <w:r w:rsidR="005D03D6" w:rsidRPr="008F3AB1">
        <w:rPr>
          <w:rFonts w:cs="Arial"/>
          <w:noProof/>
        </w:rPr>
        <w:t>2</w:t>
      </w:r>
      <w:r w:rsidRPr="008F3AB1">
        <w:rPr>
          <w:rFonts w:cs="Arial"/>
        </w:rPr>
        <w:fldChar w:fldCharType="end"/>
      </w:r>
      <w:r w:rsidRPr="008F3AB1">
        <w:rPr>
          <w:rFonts w:cs="Arial"/>
        </w:rPr>
        <w:t xml:space="preserve">. Marco Normativo a tener en cuenta </w:t>
      </w:r>
      <w:r w:rsidR="00CD7AEB">
        <w:rPr>
          <w:rFonts w:cs="Arial"/>
        </w:rPr>
        <w:t xml:space="preserve">por parte de </w:t>
      </w:r>
      <w:r w:rsidRPr="008F3AB1">
        <w:rPr>
          <w:rFonts w:cs="Arial"/>
        </w:rPr>
        <w:t xml:space="preserve">la autoridad ambiental territorial para la </w:t>
      </w:r>
      <w:r w:rsidRPr="008F3AB1">
        <w:rPr>
          <w:rFonts w:cs="Arial"/>
          <w:color w:val="202020"/>
        </w:rPr>
        <w:t xml:space="preserve">gestión ambiental de los cultivos de los cultivos de aguacate </w:t>
      </w:r>
      <w:r w:rsidRPr="008F3AB1">
        <w:rPr>
          <w:rFonts w:cs="Arial"/>
        </w:rPr>
        <w:t>en Colombia.</w:t>
      </w:r>
      <w:bookmarkStart w:id="97" w:name="_GoBack"/>
      <w:bookmarkEnd w:id="96"/>
      <w:bookmarkEnd w:id="97"/>
    </w:p>
    <w:tbl>
      <w:tblPr>
        <w:tblStyle w:val="Tabladecuadrcula4-nfasis6"/>
        <w:tblpPr w:leftFromText="142" w:rightFromText="142" w:vertAnchor="text" w:tblpX="-147" w:tblpY="1"/>
        <w:tblW w:w="9356" w:type="dxa"/>
        <w:tblLayout w:type="fixed"/>
        <w:tblLook w:val="04A0" w:firstRow="1" w:lastRow="0" w:firstColumn="1" w:lastColumn="0" w:noHBand="0" w:noVBand="1"/>
      </w:tblPr>
      <w:tblGrid>
        <w:gridCol w:w="1984"/>
        <w:gridCol w:w="1845"/>
        <w:gridCol w:w="5527"/>
      </w:tblGrid>
      <w:tr w:rsidR="00827A41" w:rsidRPr="008F3AB1" w14:paraId="2EF2D87F" w14:textId="77777777" w:rsidTr="00E24C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524DF521" w14:textId="77777777" w:rsidR="00827A41" w:rsidRPr="008F3AB1" w:rsidRDefault="00827A41" w:rsidP="00E24C10">
            <w:pPr>
              <w:jc w:val="center"/>
              <w:rPr>
                <w:rFonts w:cs="Arial"/>
                <w:bCs w:val="0"/>
                <w:sz w:val="20"/>
                <w:szCs w:val="20"/>
              </w:rPr>
            </w:pPr>
            <w:r w:rsidRPr="008F3AB1">
              <w:rPr>
                <w:rFonts w:cs="Arial"/>
                <w:bCs w:val="0"/>
                <w:sz w:val="20"/>
                <w:szCs w:val="20"/>
              </w:rPr>
              <w:t>Tema</w:t>
            </w:r>
          </w:p>
          <w:p w14:paraId="13C1CBA2" w14:textId="77777777" w:rsidR="00827A41" w:rsidRPr="008F3AB1" w:rsidRDefault="00827A41" w:rsidP="00E24C10">
            <w:pPr>
              <w:rPr>
                <w:rFonts w:cs="Arial"/>
                <w:bCs w:val="0"/>
                <w:sz w:val="20"/>
                <w:szCs w:val="20"/>
              </w:rPr>
            </w:pPr>
          </w:p>
        </w:tc>
        <w:tc>
          <w:tcPr>
            <w:tcW w:w="1845" w:type="dxa"/>
            <w:hideMark/>
          </w:tcPr>
          <w:p w14:paraId="0CADB4C3" w14:textId="77777777" w:rsidR="00827A41" w:rsidRPr="008F3AB1" w:rsidRDefault="00827A41" w:rsidP="00E24C10">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8F3AB1">
              <w:rPr>
                <w:rFonts w:cs="Arial"/>
                <w:bCs w:val="0"/>
                <w:sz w:val="20"/>
                <w:szCs w:val="20"/>
              </w:rPr>
              <w:t>Instrumento jurídico</w:t>
            </w:r>
          </w:p>
        </w:tc>
        <w:tc>
          <w:tcPr>
            <w:tcW w:w="5527" w:type="dxa"/>
            <w:hideMark/>
          </w:tcPr>
          <w:p w14:paraId="7EFC4513" w14:textId="77777777" w:rsidR="00827A41" w:rsidRPr="008F3AB1" w:rsidRDefault="00827A41" w:rsidP="00E24C10">
            <w:pPr>
              <w:cnfStyle w:val="100000000000" w:firstRow="1" w:lastRow="0" w:firstColumn="0" w:lastColumn="0" w:oddVBand="0" w:evenVBand="0" w:oddHBand="0" w:evenHBand="0" w:firstRowFirstColumn="0" w:firstRowLastColumn="0" w:lastRowFirstColumn="0" w:lastRowLastColumn="0"/>
              <w:rPr>
                <w:rFonts w:cs="Arial"/>
                <w:sz w:val="20"/>
                <w:szCs w:val="20"/>
              </w:rPr>
            </w:pPr>
            <w:r w:rsidRPr="008F3AB1">
              <w:rPr>
                <w:rFonts w:cs="Arial"/>
                <w:bCs w:val="0"/>
                <w:sz w:val="20"/>
                <w:szCs w:val="20"/>
              </w:rPr>
              <w:t xml:space="preserve">Aspectos relevantes con la producción de aguacate </w:t>
            </w:r>
          </w:p>
        </w:tc>
      </w:tr>
      <w:tr w:rsidR="00827A41" w:rsidRPr="008F3AB1" w14:paraId="7A587AD4"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35685DDF" w14:textId="77777777" w:rsidR="00827A41" w:rsidRPr="008F3AB1" w:rsidRDefault="00827A41" w:rsidP="00E24C10">
            <w:pPr>
              <w:rPr>
                <w:rFonts w:cs="Arial"/>
                <w:sz w:val="20"/>
                <w:szCs w:val="20"/>
              </w:rPr>
            </w:pPr>
          </w:p>
          <w:p w14:paraId="7FE616C3" w14:textId="77777777" w:rsidR="00827A41" w:rsidRPr="008F3AB1" w:rsidRDefault="00827A41" w:rsidP="00E24C10">
            <w:pPr>
              <w:rPr>
                <w:rFonts w:cs="Arial"/>
                <w:sz w:val="20"/>
                <w:szCs w:val="20"/>
              </w:rPr>
            </w:pPr>
            <w:r w:rsidRPr="008F3AB1">
              <w:rPr>
                <w:rFonts w:cs="Arial"/>
                <w:sz w:val="20"/>
                <w:szCs w:val="20"/>
              </w:rPr>
              <w:t>Derechos colectivos y del ambiente</w:t>
            </w:r>
          </w:p>
        </w:tc>
        <w:tc>
          <w:tcPr>
            <w:tcW w:w="1845" w:type="dxa"/>
            <w:hideMark/>
          </w:tcPr>
          <w:p w14:paraId="3904467A"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7410981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3BA7F8DC"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3602DA7A"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268449E5"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CONSTITUCIÓN POLITICA DE COLOMBIA 1991 </w:t>
            </w:r>
          </w:p>
          <w:p w14:paraId="3C13AC4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hideMark/>
          </w:tcPr>
          <w:p w14:paraId="59C53B0B"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El Capítulo 3 “De los derechos colectivos y del ambiente” de la Constitución Política de Colombia, en los </w:t>
            </w:r>
            <w:r w:rsidRPr="008F3AB1">
              <w:rPr>
                <w:rFonts w:cs="Arial"/>
                <w:b/>
                <w:bCs/>
                <w:sz w:val="20"/>
                <w:szCs w:val="20"/>
              </w:rPr>
              <w:t>Artículos 78, 79 y 80</w:t>
            </w:r>
            <w:r w:rsidRPr="008F3AB1">
              <w:rPr>
                <w:rFonts w:cs="Arial"/>
                <w:sz w:val="20"/>
                <w:szCs w:val="20"/>
              </w:rPr>
              <w:t xml:space="preserve"> indican que a través de la Ley se regulará el control de los bienes y servicios prestados a la comunidad, y se responsabiliza a quienes generen servicios o productos que atenten contra la salud y se garantiza la participación de las organizaciones y usuarios en el estudio de las disposiciones que les conciernen.</w:t>
            </w:r>
          </w:p>
          <w:p w14:paraId="7E76FC9E"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Además, se considera un derecho de los ciudadanos el gozar de un ambiente sano y se garantiza la participación de las comunidades en las decisiones que pueda afectar el ambiente y en consecuencia el Estado debe proteger la diversidad e integridad del ambiente y conservar las áreas de importancia ecológica.</w:t>
            </w:r>
          </w:p>
          <w:p w14:paraId="35C6419E"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Finalmente, el Estado debe planificar el manejo y aprovechamiento de los recursos naturales, para garantizar el desarrollo sostenible, su conservación, restauración o sustitución y deberá prevenir y controlar los factores de deterioro ambiental, imponer las sanciones legales y exigir la reparación de los daños causados.</w:t>
            </w:r>
          </w:p>
          <w:p w14:paraId="11D02CEF"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sz w:val="20"/>
                <w:szCs w:val="20"/>
              </w:rPr>
              <w:t>Artículo 58.</w:t>
            </w:r>
            <w:r w:rsidRPr="008F3AB1">
              <w:rPr>
                <w:rFonts w:cs="Arial"/>
                <w:sz w:val="20"/>
                <w:szCs w:val="20"/>
              </w:rPr>
              <w:t xml:space="preserve"> La propiedad es una función social que implica obligaciones. Como tal, le es inherente una función ecológica. Artículo modificado por el artículo </w:t>
            </w:r>
            <w:hyperlink r:id="rId13" w:anchor="1" w:history="1">
              <w:r w:rsidRPr="008F3AB1">
                <w:rPr>
                  <w:rFonts w:cs="Arial"/>
                  <w:sz w:val="20"/>
                  <w:szCs w:val="20"/>
                </w:rPr>
                <w:t>1</w:t>
              </w:r>
            </w:hyperlink>
            <w:r w:rsidRPr="008F3AB1">
              <w:rPr>
                <w:rFonts w:cs="Arial"/>
                <w:sz w:val="20"/>
                <w:szCs w:val="20"/>
              </w:rPr>
              <w:t>o. del Acto Legislativo 1 de 1999. El nuevo texto es el siguiente: Se garantizan la propiedad privada y los demás derechos adquiridos con arreglo a las leyes civiles, los cuales no pueden ser desconocidos ni vulnerados por leyes posteriores. Cuando de la aplicación de una ley expedida por motivos de utilidad pública o interés social, resultaren en conflicto los derechos de los particulares con la necesidad por ella reconocida, el interés privado deberá ceder al interés público o social.</w:t>
            </w:r>
          </w:p>
        </w:tc>
      </w:tr>
      <w:tr w:rsidR="00827A41" w:rsidRPr="008F3AB1" w14:paraId="0EE9F2AB" w14:textId="77777777" w:rsidTr="00E24C10">
        <w:tc>
          <w:tcPr>
            <w:cnfStyle w:val="001000000000" w:firstRow="0" w:lastRow="0" w:firstColumn="1" w:lastColumn="0" w:oddVBand="0" w:evenVBand="0" w:oddHBand="0" w:evenHBand="0" w:firstRowFirstColumn="0" w:firstRowLastColumn="0" w:lastRowFirstColumn="0" w:lastRowLastColumn="0"/>
            <w:tcW w:w="1984" w:type="dxa"/>
          </w:tcPr>
          <w:p w14:paraId="2F6D0516" w14:textId="77777777" w:rsidR="00827A41" w:rsidRPr="008F3AB1" w:rsidRDefault="00827A41" w:rsidP="00E24C10">
            <w:pPr>
              <w:rPr>
                <w:rFonts w:cs="Arial"/>
                <w:sz w:val="20"/>
                <w:szCs w:val="20"/>
              </w:rPr>
            </w:pPr>
            <w:r w:rsidRPr="008F3AB1">
              <w:rPr>
                <w:rFonts w:cs="Arial"/>
                <w:sz w:val="20"/>
                <w:szCs w:val="20"/>
              </w:rPr>
              <w:t>Plan Nacional de Desarrollo 2022-2026</w:t>
            </w:r>
          </w:p>
        </w:tc>
        <w:tc>
          <w:tcPr>
            <w:tcW w:w="1845" w:type="dxa"/>
          </w:tcPr>
          <w:p w14:paraId="0468F064"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48DAE62C"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10BD0885"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3EFC8453"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786D2BDB"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Ley 2294 - 19 de mayo de 2023 “Por el cual se expide el Plan Nacional de Desarrollo 2022-2026 “COLOMBIA POTENCIA MUNDIAL DE LA VIDA”</w:t>
            </w:r>
          </w:p>
        </w:tc>
        <w:tc>
          <w:tcPr>
            <w:tcW w:w="5527" w:type="dxa"/>
          </w:tcPr>
          <w:p w14:paraId="0F386A3F"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 xml:space="preserve">El Plan Nacional de Desarrollo “COLOMBIA POTENCIA MUNDIAL DE LA VIDA” se materializa en cinco (5) transformaciones para que Colombia se convierta en un líder de lucha mundial por la vida, la humanidad y la naturaleza.  </w:t>
            </w:r>
            <w:r w:rsidRPr="008F3AB1">
              <w:rPr>
                <w:rFonts w:cs="Arial"/>
                <w:sz w:val="20"/>
                <w:szCs w:val="20"/>
              </w:rPr>
              <w:lastRenderedPageBreak/>
              <w:t>En La Ley, se identifican tres (3) transformaciones como aspectos asociados a la producción de Aguacate:</w:t>
            </w:r>
          </w:p>
          <w:p w14:paraId="6AF4107D"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“1. Ordenamiento del territorio alrededor del agua y justicia ambiental: </w:t>
            </w:r>
          </w:p>
          <w:p w14:paraId="43FDB8CC"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“Busca un cambio en la planificación del ordenamiento y del desarrollo del territorio, donde la protección de los determinantes ambientales y de las áreas de especial interés para garantizar el derecho a la alimentación sean objetivos centrales que, desde un enfoque funcional del ordenamiento, orienten procesos de planificación territorial participativos, donde las voces de las y los que habitan los territorios sean escuchadas e incorporadas.</w:t>
            </w:r>
          </w:p>
          <w:p w14:paraId="67A72A48"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En este sentido, la modificación del artículo 10 de la Ley 388 de 1997 reafirma la prevalencia de las determinantes ambientales como nivel superior en la formulación, revisión y ajuste de los planes de ordenamiento territoriales y reconoce la biodiversidad y sus servicios ecosistémicos como base que soporta el desarrollo de los territorios.</w:t>
            </w:r>
          </w:p>
          <w:p w14:paraId="1BCC44CE" w14:textId="77777777" w:rsidR="00827A41" w:rsidRPr="008F3AB1" w:rsidRDefault="00827A41" w:rsidP="005306CE">
            <w:pPr>
              <w:pStyle w:val="Prrafodelista"/>
              <w:widowControl/>
              <w:numPr>
                <w:ilvl w:val="0"/>
                <w:numId w:val="42"/>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8F3AB1">
              <w:rPr>
                <w:sz w:val="20"/>
                <w:szCs w:val="20"/>
                <w:lang w:val="es-MX"/>
              </w:rPr>
              <w:t>Derecho humano a la alimentación</w:t>
            </w:r>
          </w:p>
          <w:p w14:paraId="067854B4"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515623E7"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Busca que las personas puedan acceder, en todo momento, a una alimentación adecuada. Se desarrolla a través de tres pilares principales: </w:t>
            </w:r>
          </w:p>
          <w:p w14:paraId="70AC3CB1" w14:textId="77777777" w:rsidR="00827A41" w:rsidRPr="008F3AB1" w:rsidRDefault="00827A41" w:rsidP="005306CE">
            <w:pPr>
              <w:pStyle w:val="Prrafodelista"/>
              <w:widowControl/>
              <w:numPr>
                <w:ilvl w:val="0"/>
                <w:numId w:val="41"/>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rPr>
            </w:pPr>
            <w:r w:rsidRPr="008F3AB1">
              <w:rPr>
                <w:sz w:val="20"/>
                <w:szCs w:val="20"/>
              </w:rPr>
              <w:t>Disponibilidad</w:t>
            </w:r>
          </w:p>
          <w:p w14:paraId="1AA14219" w14:textId="77777777" w:rsidR="00827A41" w:rsidRPr="008F3AB1" w:rsidRDefault="00827A41" w:rsidP="005306CE">
            <w:pPr>
              <w:pStyle w:val="Prrafodelista"/>
              <w:widowControl/>
              <w:numPr>
                <w:ilvl w:val="0"/>
                <w:numId w:val="41"/>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rPr>
            </w:pPr>
            <w:r w:rsidRPr="008F3AB1">
              <w:rPr>
                <w:sz w:val="20"/>
                <w:szCs w:val="20"/>
              </w:rPr>
              <w:t>Acceso</w:t>
            </w:r>
          </w:p>
          <w:p w14:paraId="37716CDC" w14:textId="77777777" w:rsidR="00827A41" w:rsidRPr="008F3AB1" w:rsidRDefault="00827A41" w:rsidP="005306CE">
            <w:pPr>
              <w:pStyle w:val="Prrafodelista"/>
              <w:widowControl/>
              <w:numPr>
                <w:ilvl w:val="0"/>
                <w:numId w:val="41"/>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rPr>
            </w:pPr>
            <w:r w:rsidRPr="008F3AB1">
              <w:rPr>
                <w:sz w:val="20"/>
                <w:szCs w:val="20"/>
              </w:rPr>
              <w:t xml:space="preserve">Adecuación de alimentos. </w:t>
            </w:r>
          </w:p>
          <w:p w14:paraId="1569FB1B"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Bajo este contexto, se establecen las bases para que progresivamente se logre la soberanía alimentaria y para que todas las personas tengan una alimentación adecuada, saludable, y reconozca las dietas y gastronomías locales y que les permita tener una vida activa y sana.</w:t>
            </w:r>
          </w:p>
          <w:p w14:paraId="43425334" w14:textId="77777777" w:rsidR="00827A41" w:rsidRPr="008F3AB1" w:rsidRDefault="00827A41" w:rsidP="005306CE">
            <w:pPr>
              <w:pStyle w:val="Prrafodelista"/>
              <w:widowControl/>
              <w:numPr>
                <w:ilvl w:val="0"/>
                <w:numId w:val="42"/>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8F3AB1">
              <w:rPr>
                <w:sz w:val="20"/>
                <w:szCs w:val="20"/>
                <w:lang w:val="es-MX"/>
              </w:rPr>
              <w:t xml:space="preserve">Transformación productiva, internacionalización y acción climática. </w:t>
            </w:r>
          </w:p>
          <w:p w14:paraId="627ED5EB" w14:textId="77777777" w:rsidR="00827A41" w:rsidRPr="008F3AB1" w:rsidRDefault="00827A41" w:rsidP="00E24C10">
            <w:pPr>
              <w:pStyle w:val="Prrafodelista"/>
              <w:cnfStyle w:val="000000000000" w:firstRow="0" w:lastRow="0" w:firstColumn="0" w:lastColumn="0" w:oddVBand="0" w:evenVBand="0" w:oddHBand="0" w:evenHBand="0" w:firstRowFirstColumn="0" w:firstRowLastColumn="0" w:lastRowFirstColumn="0" w:lastRowLastColumn="0"/>
              <w:rPr>
                <w:sz w:val="20"/>
                <w:szCs w:val="20"/>
                <w:lang w:val="es-MX"/>
              </w:rPr>
            </w:pPr>
          </w:p>
          <w:p w14:paraId="36E18505"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Apunta a la diversificación de las actividades productivas que aprovechen el capital natural y profundicen en el uso de energías limpias, que sean intensivas en conocimiento e innovación, que respeten y garanticen los derechos humanos, y que aporten a la construcción de la resiliencia ante los choques climáticos. Con ello, se espera la productividad que propicie el desarrollo sostenible y la competitividad del país, aumentando la riqueza al tiempo que es incluyente, dejando atrás de manera progresiva la dependencia de actividades extractivas y dando paso a una economía reindustrializada con nuevos sectores soportados </w:t>
            </w:r>
            <w:r w:rsidRPr="008F3AB1">
              <w:rPr>
                <w:rFonts w:cs="Arial"/>
                <w:sz w:val="20"/>
                <w:szCs w:val="20"/>
              </w:rPr>
              <w:lastRenderedPageBreak/>
              <w:t>en las potencialidades territoriales en armonía con la naturaleza”.</w:t>
            </w:r>
          </w:p>
          <w:p w14:paraId="14C97068" w14:textId="761EEDDD" w:rsidR="00827A41" w:rsidRPr="008F3AB1" w:rsidRDefault="00827A41" w:rsidP="008F3AB1">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En el Plan Nacional de Desarrollo: Colombia Potencia Mundial de la Vida (2022–2026), en el catalizador de Justicia ambiental y gobernanza inclusiva, se plantea que se desarrollará el sistema nacional de diálogo y transformación de conflictos socio-ambientales que además generará alertas para la atención, prevención y gestión de los conflictos, estimulando el liderazgo de las mujeres en los asuntos ambientales y la participación en las instancias de gobernanza del agua (p.24). </w:t>
            </w:r>
            <w:r w:rsidRPr="008F3AB1">
              <w:rPr>
                <w:rFonts w:eastAsia="Times New Roman" w:cs="Arial"/>
                <w:color w:val="881798"/>
              </w:rPr>
              <w:t> </w:t>
            </w:r>
          </w:p>
        </w:tc>
      </w:tr>
      <w:tr w:rsidR="00827A41" w:rsidRPr="008F3AB1" w14:paraId="14F76BB7"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400F3608" w14:textId="77777777" w:rsidR="00827A41" w:rsidRPr="008F3AB1" w:rsidRDefault="00827A41" w:rsidP="00E24C10">
            <w:pPr>
              <w:rPr>
                <w:rFonts w:cs="Arial"/>
                <w:sz w:val="20"/>
                <w:szCs w:val="20"/>
              </w:rPr>
            </w:pPr>
            <w:r w:rsidRPr="008F3AB1">
              <w:rPr>
                <w:rFonts w:cs="Arial"/>
                <w:sz w:val="20"/>
                <w:szCs w:val="20"/>
              </w:rPr>
              <w:lastRenderedPageBreak/>
              <w:t>Conservación de la biodiversidad</w:t>
            </w:r>
          </w:p>
        </w:tc>
        <w:tc>
          <w:tcPr>
            <w:tcW w:w="1845" w:type="dxa"/>
          </w:tcPr>
          <w:p w14:paraId="22989551"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52A5180C"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2298531C"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Ley 165 de 1994 </w:t>
            </w:r>
            <w:r w:rsidRPr="008F3AB1">
              <w:rPr>
                <w:rFonts w:cs="Arial"/>
                <w:b/>
                <w:bCs/>
                <w:color w:val="333333"/>
              </w:rPr>
              <w:t>Por</w:t>
            </w:r>
            <w:r w:rsidRPr="008F3AB1">
              <w:rPr>
                <w:rFonts w:cs="Arial"/>
                <w:bCs/>
                <w:i/>
                <w:color w:val="333333"/>
                <w:sz w:val="20"/>
              </w:rPr>
              <w:t xml:space="preserve"> medio de la cual se aprueba el "Convenio sobre la Diversidad Biológica", hecho en Río de Janeiro el 5 de junio de 1992.</w:t>
            </w:r>
          </w:p>
        </w:tc>
        <w:tc>
          <w:tcPr>
            <w:tcW w:w="5527" w:type="dxa"/>
          </w:tcPr>
          <w:p w14:paraId="48B92F57"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A través de esta Ley, Colombia ratifica su vinculación al convenio de diversidad biológica, suscrito entre 196 países y se destaca como decisiones de esta Ley las siguientes:</w:t>
            </w:r>
          </w:p>
          <w:p w14:paraId="0359F21A" w14:textId="77777777" w:rsidR="00827A41" w:rsidRPr="008F3AB1" w:rsidRDefault="00827A41" w:rsidP="005306CE">
            <w:pPr>
              <w:numPr>
                <w:ilvl w:val="0"/>
                <w:numId w:val="32"/>
              </w:numPr>
              <w:spacing w:after="0"/>
              <w:ind w:left="714" w:hanging="357"/>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Declarar la diversidad biológica como propiedad del estado, de manera que debe velar por su manejo y conservación (Artículos 6, 8, 10 y 15).</w:t>
            </w:r>
          </w:p>
          <w:p w14:paraId="2CA98C97" w14:textId="77777777" w:rsidR="00827A41" w:rsidRPr="008F3AB1" w:rsidRDefault="00827A41" w:rsidP="005306CE">
            <w:pPr>
              <w:numPr>
                <w:ilvl w:val="0"/>
                <w:numId w:val="32"/>
              </w:numPr>
              <w:spacing w:after="0"/>
              <w:ind w:left="714" w:hanging="357"/>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Unificar conceptos a nivel de biodiversidad (Artículo 2, 8)</w:t>
            </w:r>
          </w:p>
          <w:p w14:paraId="7F8338B8" w14:textId="77777777" w:rsidR="00827A41" w:rsidRPr="008F3AB1" w:rsidRDefault="00827A41" w:rsidP="005306CE">
            <w:pPr>
              <w:numPr>
                <w:ilvl w:val="0"/>
                <w:numId w:val="32"/>
              </w:numPr>
              <w:spacing w:after="0"/>
              <w:ind w:left="714" w:hanging="357"/>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Define como una de las estrategias para la conservación de la diversidad biológica in situ la declaratoria de áreas protegidas (Artículo 8).</w:t>
            </w:r>
          </w:p>
          <w:p w14:paraId="6823F010" w14:textId="77777777" w:rsidR="00827A41" w:rsidRPr="008F3AB1" w:rsidRDefault="00827A41" w:rsidP="005306CE">
            <w:pPr>
              <w:numPr>
                <w:ilvl w:val="0"/>
                <w:numId w:val="32"/>
              </w:numPr>
              <w:spacing w:after="0"/>
              <w:ind w:left="714" w:hanging="357"/>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Asumir las medidas necesarias para la restauración y uso sostenible de la biodiversidad (Artículo 6, 8, 10 y 15).</w:t>
            </w:r>
          </w:p>
          <w:p w14:paraId="45BD9484" w14:textId="77777777" w:rsidR="00827A41" w:rsidRPr="008F3AB1" w:rsidRDefault="00827A41" w:rsidP="005306CE">
            <w:pPr>
              <w:numPr>
                <w:ilvl w:val="0"/>
                <w:numId w:val="32"/>
              </w:numPr>
              <w:spacing w:after="0"/>
              <w:ind w:left="714" w:hanging="357"/>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La posibilidad de cooperación técnica y científica para su conservación (Artículo 12).</w:t>
            </w:r>
          </w:p>
        </w:tc>
      </w:tr>
      <w:tr w:rsidR="00827A41" w:rsidRPr="008F3AB1" w14:paraId="4DA2056B" w14:textId="77777777" w:rsidTr="00E24C10">
        <w:tc>
          <w:tcPr>
            <w:cnfStyle w:val="001000000000" w:firstRow="0" w:lastRow="0" w:firstColumn="1" w:lastColumn="0" w:oddVBand="0" w:evenVBand="0" w:oddHBand="0" w:evenHBand="0" w:firstRowFirstColumn="0" w:firstRowLastColumn="0" w:lastRowFirstColumn="0" w:lastRowLastColumn="0"/>
            <w:tcW w:w="1984" w:type="dxa"/>
          </w:tcPr>
          <w:p w14:paraId="72EC0433" w14:textId="77777777" w:rsidR="00827A41" w:rsidRPr="008F3AB1" w:rsidRDefault="00827A41" w:rsidP="00E24C10">
            <w:pPr>
              <w:rPr>
                <w:rFonts w:cs="Arial"/>
                <w:sz w:val="20"/>
                <w:szCs w:val="20"/>
              </w:rPr>
            </w:pPr>
            <w:r w:rsidRPr="008F3AB1">
              <w:rPr>
                <w:rFonts w:cs="Arial"/>
                <w:sz w:val="20"/>
                <w:szCs w:val="20"/>
              </w:rPr>
              <w:t>Conservación de la biodiversidad</w:t>
            </w:r>
          </w:p>
        </w:tc>
        <w:tc>
          <w:tcPr>
            <w:tcW w:w="1845" w:type="dxa"/>
          </w:tcPr>
          <w:p w14:paraId="636A059F"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Plan de Acción de  Biodiversidad de Colombia a 2030 (2024)</w:t>
            </w:r>
          </w:p>
        </w:tc>
        <w:tc>
          <w:tcPr>
            <w:tcW w:w="5527" w:type="dxa"/>
          </w:tcPr>
          <w:p w14:paraId="75669095"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El Plan determina las acciones y la articulación de metas como país a las metas establecidas en el marco mundial Kunming-Montreal de la diversidad biológica Diciembre de 2022. </w:t>
            </w:r>
          </w:p>
          <w:p w14:paraId="7AC58C93"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8F3AB1">
              <w:rPr>
                <w:rFonts w:cs="Arial"/>
                <w:sz w:val="20"/>
                <w:szCs w:val="20"/>
              </w:rPr>
              <w:t xml:space="preserve">El Plan propone la Apuesta No 1 </w:t>
            </w:r>
            <w:r w:rsidRPr="008F3AB1">
              <w:rPr>
                <w:rFonts w:cs="Arial"/>
                <w:b/>
                <w:sz w:val="20"/>
                <w:szCs w:val="20"/>
              </w:rPr>
              <w:t>Integración y coherencia</w:t>
            </w:r>
          </w:p>
          <w:p w14:paraId="07AEEBB3"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rPr>
            </w:pPr>
            <w:r w:rsidRPr="008F3AB1">
              <w:rPr>
                <w:rFonts w:cs="Arial"/>
                <w:b/>
                <w:sz w:val="20"/>
                <w:szCs w:val="20"/>
              </w:rPr>
              <w:t>intersectorial para la gestión territorial de la biodiversidad y la acción climática, como determinantes de la planificación y el ordenamiento</w:t>
            </w:r>
            <w:r w:rsidRPr="008F3AB1">
              <w:rPr>
                <w:rFonts w:cs="Arial"/>
                <w:sz w:val="20"/>
                <w:szCs w:val="20"/>
              </w:rPr>
              <w:t xml:space="preserve">, para lo cual propone como meta nacional   </w:t>
            </w:r>
            <w:r w:rsidRPr="008F3AB1">
              <w:rPr>
                <w:rFonts w:cs="Arial"/>
                <w:b/>
                <w:i/>
                <w:sz w:val="20"/>
                <w:szCs w:val="20"/>
              </w:rPr>
              <w:t>1.Planificación participativa</w:t>
            </w:r>
            <w:r w:rsidRPr="008F3AB1">
              <w:rPr>
                <w:rFonts w:cs="Arial"/>
              </w:rPr>
              <w:t xml:space="preserve"> </w:t>
            </w:r>
            <w:r w:rsidRPr="008F3AB1">
              <w:rPr>
                <w:rFonts w:cs="Arial"/>
                <w:i/>
                <w:sz w:val="20"/>
              </w:rPr>
              <w:t>Al 2030, al menos 19 millones de hectáreas con integridad de paisaje en territorios continentales y marino-costeros, serán incluidas como determinantes de ordenamiento territorial con criterios de biodiversidad, adaptación climática y participación, en los instrumentos de planeación para la toma de decisiones sobre gestión territorial</w:t>
            </w:r>
            <w:r w:rsidRPr="008F3AB1">
              <w:rPr>
                <w:rFonts w:cs="Arial"/>
              </w:rPr>
              <w:t>.</w:t>
            </w:r>
          </w:p>
          <w:p w14:paraId="598B3CA2"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Adicionalmente la Apuesta No 2  </w:t>
            </w:r>
            <w:r w:rsidRPr="008F3AB1">
              <w:rPr>
                <w:rFonts w:cs="Arial"/>
                <w:b/>
                <w:sz w:val="20"/>
                <w:szCs w:val="20"/>
              </w:rPr>
              <w:t>Impulso a la transición de los modelos productivos hacia la sostenibilidad, la revalorización de la biodiversidad y la distribución justa y equitativa de los beneficios</w:t>
            </w:r>
            <w:r w:rsidRPr="008F3AB1">
              <w:rPr>
                <w:rFonts w:cs="Arial"/>
                <w:sz w:val="20"/>
                <w:szCs w:val="20"/>
              </w:rPr>
              <w:t xml:space="preserve">, tiene como meta </w:t>
            </w:r>
            <w:r w:rsidRPr="008F3AB1">
              <w:rPr>
                <w:rFonts w:cs="Arial"/>
                <w:b/>
                <w:sz w:val="20"/>
                <w:szCs w:val="20"/>
              </w:rPr>
              <w:t xml:space="preserve">No </w:t>
            </w:r>
            <w:r w:rsidRPr="008F3AB1">
              <w:rPr>
                <w:rFonts w:cs="Arial"/>
                <w:b/>
                <w:i/>
                <w:sz w:val="20"/>
                <w:szCs w:val="20"/>
              </w:rPr>
              <w:t>2</w:t>
            </w:r>
            <w:r w:rsidRPr="008F3AB1">
              <w:rPr>
                <w:rFonts w:cs="Arial"/>
                <w:i/>
                <w:sz w:val="20"/>
                <w:szCs w:val="20"/>
              </w:rPr>
              <w:t xml:space="preserve"> </w:t>
            </w:r>
            <w:r w:rsidRPr="008F3AB1">
              <w:rPr>
                <w:rFonts w:cs="Arial"/>
              </w:rPr>
              <w:t xml:space="preserve"> </w:t>
            </w:r>
            <w:r w:rsidRPr="008F3AB1">
              <w:rPr>
                <w:rFonts w:cs="Arial"/>
                <w:b/>
                <w:i/>
                <w:sz w:val="20"/>
                <w:szCs w:val="20"/>
              </w:rPr>
              <w:t xml:space="preserve">Territorios con integridad ecosistémica y sistemas </w:t>
            </w:r>
            <w:r w:rsidRPr="008F3AB1">
              <w:rPr>
                <w:rFonts w:cs="Arial"/>
                <w:b/>
                <w:i/>
                <w:sz w:val="20"/>
                <w:szCs w:val="20"/>
              </w:rPr>
              <w:lastRenderedPageBreak/>
              <w:t>regenerativos</w:t>
            </w:r>
            <w:r w:rsidRPr="008F3AB1">
              <w:rPr>
                <w:rFonts w:cs="Arial"/>
                <w:i/>
                <w:sz w:val="20"/>
                <w:szCs w:val="20"/>
              </w:rPr>
              <w:t xml:space="preserve">  Al 2030, Colombia contará con 5 millones de hectáreas reconvertidas a modelos productivos sostenibles y con procesos de restauración multifuncional que garanticen la recuperación de la funcionalidad de los ecosistemas y la dinamización de las economías territoriales.</w:t>
            </w:r>
          </w:p>
        </w:tc>
      </w:tr>
      <w:tr w:rsidR="00827A41" w:rsidRPr="008F3AB1" w14:paraId="6CDAFB96"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5BB6A94B" w14:textId="77777777" w:rsidR="00827A41" w:rsidRPr="008F3AB1" w:rsidRDefault="00827A41" w:rsidP="00E24C10">
            <w:pPr>
              <w:rPr>
                <w:rFonts w:cs="Arial"/>
                <w:sz w:val="20"/>
                <w:szCs w:val="20"/>
              </w:rPr>
            </w:pPr>
            <w:r w:rsidRPr="008F3AB1">
              <w:rPr>
                <w:rFonts w:cs="Arial"/>
                <w:sz w:val="20"/>
                <w:szCs w:val="20"/>
              </w:rPr>
              <w:lastRenderedPageBreak/>
              <w:t>Conservación de la biodiversidad</w:t>
            </w:r>
          </w:p>
        </w:tc>
        <w:tc>
          <w:tcPr>
            <w:tcW w:w="1845" w:type="dxa"/>
          </w:tcPr>
          <w:p w14:paraId="098990C5"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7D8385F7"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Decreto 1076 de 2015 Decreto Único Reglamentario del Sector Ambiente y Desarrollo Sostenible.</w:t>
            </w:r>
          </w:p>
          <w:p w14:paraId="39B761F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Artículo 2.2.2.1.1.1. Objeto. El objeto del presente capítulo es reglamentar el Sistema Nacional de Áreas Protegidas, las categorías de manejo que lo conforman y los procedimientos generales relacionados con este</w:t>
            </w:r>
          </w:p>
          <w:p w14:paraId="4B365011"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7DAA885E" w14:textId="77777777" w:rsidR="00827A41" w:rsidRPr="008F3AB1" w:rsidRDefault="00CD7AEB"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sdt>
              <w:sdtPr>
                <w:rPr>
                  <w:rFonts w:cs="Arial"/>
                  <w:sz w:val="20"/>
                  <w:szCs w:val="20"/>
                </w:rPr>
                <w:id w:val="-965500960"/>
                <w:citation/>
              </w:sdtPr>
              <w:sdtContent>
                <w:r w:rsidR="00827A41" w:rsidRPr="008F3AB1">
                  <w:rPr>
                    <w:rFonts w:cs="Arial"/>
                    <w:sz w:val="20"/>
                    <w:szCs w:val="20"/>
                  </w:rPr>
                  <w:fldChar w:fldCharType="begin"/>
                </w:r>
                <w:r w:rsidR="00827A41" w:rsidRPr="008F3AB1">
                  <w:rPr>
                    <w:rFonts w:cs="Arial"/>
                    <w:sz w:val="20"/>
                    <w:szCs w:val="20"/>
                  </w:rPr>
                  <w:instrText xml:space="preserve"> CITATION Pre15 \l 9226 </w:instrText>
                </w:r>
                <w:r w:rsidR="00827A41" w:rsidRPr="008F3AB1">
                  <w:rPr>
                    <w:rFonts w:cs="Arial"/>
                    <w:sz w:val="20"/>
                    <w:szCs w:val="20"/>
                  </w:rPr>
                  <w:fldChar w:fldCharType="separate"/>
                </w:r>
                <w:r w:rsidR="00827A41" w:rsidRPr="008F3AB1">
                  <w:rPr>
                    <w:rFonts w:cs="Arial"/>
                    <w:noProof/>
                    <w:sz w:val="20"/>
                    <w:szCs w:val="20"/>
                  </w:rPr>
                  <w:t>(Presidencia de la República de Colombia, 2015)</w:t>
                </w:r>
                <w:r w:rsidR="00827A41" w:rsidRPr="008F3AB1">
                  <w:rPr>
                    <w:rFonts w:cs="Arial"/>
                    <w:sz w:val="20"/>
                    <w:szCs w:val="20"/>
                  </w:rPr>
                  <w:fldChar w:fldCharType="end"/>
                </w:r>
              </w:sdtContent>
            </w:sdt>
            <w:r w:rsidR="00827A41" w:rsidRPr="008F3AB1">
              <w:rPr>
                <w:rFonts w:cs="Arial"/>
                <w:sz w:val="20"/>
                <w:szCs w:val="20"/>
              </w:rPr>
              <w:t>.</w:t>
            </w:r>
          </w:p>
        </w:tc>
        <w:tc>
          <w:tcPr>
            <w:tcW w:w="5527" w:type="dxa"/>
          </w:tcPr>
          <w:p w14:paraId="123E8971"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El Título 2 </w:t>
            </w:r>
            <w:r w:rsidRPr="008F3AB1">
              <w:rPr>
                <w:rFonts w:cs="Arial"/>
                <w:i/>
                <w:iCs/>
                <w:sz w:val="20"/>
                <w:szCs w:val="20"/>
              </w:rPr>
              <w:t>Gestión ambiental</w:t>
            </w:r>
            <w:r w:rsidRPr="008F3AB1">
              <w:rPr>
                <w:rFonts w:cs="Arial"/>
                <w:sz w:val="20"/>
                <w:szCs w:val="20"/>
              </w:rPr>
              <w:t xml:space="preserve"> de Capítulo I </w:t>
            </w:r>
            <w:r w:rsidRPr="008F3AB1">
              <w:rPr>
                <w:rFonts w:cs="Arial"/>
                <w:i/>
                <w:iCs/>
                <w:sz w:val="20"/>
                <w:szCs w:val="20"/>
              </w:rPr>
              <w:t xml:space="preserve">Áreas de manejo especial </w:t>
            </w:r>
            <w:r w:rsidRPr="008F3AB1">
              <w:rPr>
                <w:rFonts w:cs="Arial"/>
                <w:sz w:val="20"/>
                <w:szCs w:val="20"/>
              </w:rPr>
              <w:t>Sección 1, Artículo 2.2.2.1.2.1. Áreas protegidas del Sinap. del Decreto 1076 de 2015 define la creación del Sistema Nacional de Áreas Protegidas – SINAP, donde se resaltan los siguientes aspectos:</w:t>
            </w:r>
          </w:p>
          <w:p w14:paraId="042B814E"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Las categorías que hacen parte del SINAP son:</w:t>
            </w:r>
          </w:p>
          <w:p w14:paraId="36AECB42"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Áreas protegidas públicas:</w:t>
            </w:r>
          </w:p>
          <w:p w14:paraId="6AB87EFC"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a) Las del Sistema de Parques Nacionales Naturales;</w:t>
            </w:r>
          </w:p>
          <w:p w14:paraId="42EC8BD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b) Las Reservas Forestales Protectoras;</w:t>
            </w:r>
          </w:p>
          <w:p w14:paraId="07BDD8CE"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 Los Parques Naturales Regionales;</w:t>
            </w:r>
          </w:p>
          <w:p w14:paraId="19330991"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d) Los Distritos de Manejo Integrado;</w:t>
            </w:r>
          </w:p>
          <w:p w14:paraId="5602B207"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 Los Distritos de Conservación de Suelos;</w:t>
            </w:r>
          </w:p>
          <w:p w14:paraId="407492C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f) Las Áreas de Recreación. </w:t>
            </w:r>
          </w:p>
          <w:p w14:paraId="6BDD8051"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Áreas Protegidas Privadas</w:t>
            </w:r>
          </w:p>
          <w:p w14:paraId="2B90A401"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g) Las Reservas Naturales de la Sociedad Civil.</w:t>
            </w:r>
          </w:p>
          <w:p w14:paraId="34B1F4BD"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Estas áreas se constituyen en suelos de protección, cuentan con instrumentos de planificación que son los Planes de Manejo Ambiental, pueden ser declaradas por el Ministerio de Ambiente y Desarrollo Sostenible o las Corporaciones Autónomas Regionales y de Desarrollo Sostenible, son administradas por las CAR o por Parques Nacionales (según la categoría) y adicionalmente son determinantes ambientales en el ordenamiento de los municipios.</w:t>
            </w:r>
          </w:p>
          <w:p w14:paraId="6103E0FC"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Adicionalmente, en el artículo 2.2.2.1.3.1 del Decreto 1076 de 2015 indica que las demás áreas que han sido declaradas con fines de conservación de biodiversidad, como las definidas por el código de los recursos naturales (Decreto Ley 2811 de 1994) que no pertenezcan a las categorías del SINAP, son suelos de protección y sus delimitaciones como planes de manejo también son determinantes ambientales.</w:t>
            </w:r>
          </w:p>
        </w:tc>
      </w:tr>
      <w:tr w:rsidR="00827A41" w:rsidRPr="008F3AB1" w14:paraId="51086407" w14:textId="77777777" w:rsidTr="00E24C10">
        <w:tc>
          <w:tcPr>
            <w:cnfStyle w:val="001000000000" w:firstRow="0" w:lastRow="0" w:firstColumn="1" w:lastColumn="0" w:oddVBand="0" w:evenVBand="0" w:oddHBand="0" w:evenHBand="0" w:firstRowFirstColumn="0" w:firstRowLastColumn="0" w:lastRowFirstColumn="0" w:lastRowLastColumn="0"/>
            <w:tcW w:w="1984" w:type="dxa"/>
          </w:tcPr>
          <w:p w14:paraId="27F293BE" w14:textId="77777777" w:rsidR="00827A41" w:rsidRPr="008F3AB1" w:rsidRDefault="00827A41" w:rsidP="00E24C10">
            <w:pPr>
              <w:rPr>
                <w:rFonts w:cs="Arial"/>
                <w:sz w:val="20"/>
                <w:szCs w:val="20"/>
              </w:rPr>
            </w:pPr>
            <w:r w:rsidRPr="008F3AB1">
              <w:rPr>
                <w:rFonts w:cs="Arial"/>
                <w:sz w:val="20"/>
                <w:szCs w:val="20"/>
              </w:rPr>
              <w:t>Conservación de la biodiversidad</w:t>
            </w:r>
          </w:p>
        </w:tc>
        <w:tc>
          <w:tcPr>
            <w:tcW w:w="1845" w:type="dxa"/>
          </w:tcPr>
          <w:p w14:paraId="201AA961"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39E0C169"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7E68A472"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0F799850"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Ley 02 de 1959 </w:t>
            </w:r>
          </w:p>
          <w:p w14:paraId="46D4E1F2"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i/>
                <w:sz w:val="20"/>
                <w:szCs w:val="20"/>
              </w:rPr>
              <w:t>Por el cual se dictan normas sobre economía forestal de la Nación y conservación de recursos naturales renovables</w:t>
            </w:r>
            <w:r w:rsidRPr="008F3AB1" w:rsidDel="00B63501">
              <w:rPr>
                <w:rFonts w:cs="Arial"/>
                <w:i/>
                <w:sz w:val="20"/>
                <w:szCs w:val="20"/>
              </w:rPr>
              <w:t xml:space="preserve"> </w:t>
            </w:r>
            <w:sdt>
              <w:sdtPr>
                <w:rPr>
                  <w:rFonts w:cs="Arial"/>
                  <w:sz w:val="20"/>
                  <w:szCs w:val="20"/>
                </w:rPr>
                <w:id w:val="-203947952"/>
                <w:citation/>
              </w:sdtPr>
              <w:sdtContent>
                <w:r w:rsidRPr="008F3AB1">
                  <w:rPr>
                    <w:rFonts w:cs="Arial"/>
                    <w:sz w:val="20"/>
                    <w:szCs w:val="20"/>
                  </w:rPr>
                  <w:fldChar w:fldCharType="begin"/>
                </w:r>
                <w:r w:rsidRPr="008F3AB1">
                  <w:rPr>
                    <w:rFonts w:cs="Arial"/>
                    <w:sz w:val="20"/>
                    <w:szCs w:val="20"/>
                  </w:rPr>
                  <w:instrText xml:space="preserve"> CITATION Pre59 \l 9226 </w:instrText>
                </w:r>
                <w:r w:rsidRPr="008F3AB1">
                  <w:rPr>
                    <w:rFonts w:cs="Arial"/>
                    <w:sz w:val="20"/>
                    <w:szCs w:val="20"/>
                  </w:rPr>
                  <w:fldChar w:fldCharType="separate"/>
                </w:r>
                <w:r w:rsidRPr="008F3AB1">
                  <w:rPr>
                    <w:rFonts w:cs="Arial"/>
                    <w:noProof/>
                    <w:sz w:val="20"/>
                    <w:szCs w:val="20"/>
                  </w:rPr>
                  <w:t>(Presidencia de la República, 1959)</w:t>
                </w:r>
                <w:r w:rsidRPr="008F3AB1">
                  <w:rPr>
                    <w:rFonts w:cs="Arial"/>
                    <w:sz w:val="20"/>
                    <w:szCs w:val="20"/>
                  </w:rPr>
                  <w:fldChar w:fldCharType="end"/>
                </w:r>
              </w:sdtContent>
            </w:sdt>
          </w:p>
        </w:tc>
        <w:tc>
          <w:tcPr>
            <w:tcW w:w="5527" w:type="dxa"/>
          </w:tcPr>
          <w:p w14:paraId="6FECD32F"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 xml:space="preserve">Esta Ley en su artículo primero establece siete reservas forestales a nivel Nacional, para el desarrollo de la economía forestal y la protección de los suelos, las aguas y la vida silvestre, correspondientes a: </w:t>
            </w:r>
          </w:p>
          <w:p w14:paraId="6B6E9CD8"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0D840488" w14:textId="77777777" w:rsidR="00827A41" w:rsidRPr="008F3AB1" w:rsidRDefault="00827A41" w:rsidP="005306CE">
            <w:pPr>
              <w:numPr>
                <w:ilvl w:val="0"/>
                <w:numId w:val="33"/>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Zona de Reserva Forestal del Pacífico</w:t>
            </w:r>
          </w:p>
          <w:p w14:paraId="1CAE84D7" w14:textId="77777777" w:rsidR="00827A41" w:rsidRPr="008F3AB1" w:rsidRDefault="00827A41" w:rsidP="005306CE">
            <w:pPr>
              <w:numPr>
                <w:ilvl w:val="0"/>
                <w:numId w:val="33"/>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Zona de Reserva Forestal Central</w:t>
            </w:r>
          </w:p>
          <w:p w14:paraId="6E2ADEC1" w14:textId="77777777" w:rsidR="00827A41" w:rsidRPr="008F3AB1" w:rsidRDefault="00827A41" w:rsidP="005306CE">
            <w:pPr>
              <w:numPr>
                <w:ilvl w:val="0"/>
                <w:numId w:val="33"/>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Zona de Reserva Forestal del Río Magdalena</w:t>
            </w:r>
          </w:p>
          <w:p w14:paraId="7DB08A38" w14:textId="77777777" w:rsidR="00827A41" w:rsidRPr="008F3AB1" w:rsidRDefault="00827A41" w:rsidP="005306CE">
            <w:pPr>
              <w:numPr>
                <w:ilvl w:val="0"/>
                <w:numId w:val="33"/>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Zona de Reserva Forestal de la Sierra Nevada de Santa Marta</w:t>
            </w:r>
          </w:p>
          <w:p w14:paraId="78B38D23" w14:textId="77777777" w:rsidR="00827A41" w:rsidRPr="008F3AB1" w:rsidRDefault="00827A41" w:rsidP="005306CE">
            <w:pPr>
              <w:numPr>
                <w:ilvl w:val="0"/>
                <w:numId w:val="33"/>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Zona de Reserva Forestal de la Serranía de los Motilones</w:t>
            </w:r>
          </w:p>
          <w:p w14:paraId="1B3A6F3A" w14:textId="77777777" w:rsidR="00827A41" w:rsidRPr="008F3AB1" w:rsidRDefault="00827A41" w:rsidP="005306CE">
            <w:pPr>
              <w:numPr>
                <w:ilvl w:val="0"/>
                <w:numId w:val="33"/>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Zona de Reserva Forestal del Cocuy</w:t>
            </w:r>
          </w:p>
          <w:p w14:paraId="2BC9D31F" w14:textId="77777777" w:rsidR="00827A41" w:rsidRPr="008F3AB1" w:rsidRDefault="00827A41" w:rsidP="005306CE">
            <w:pPr>
              <w:numPr>
                <w:ilvl w:val="0"/>
                <w:numId w:val="33"/>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Zona de Reserva Forestal de la Amazonía </w:t>
            </w:r>
          </w:p>
          <w:p w14:paraId="78B517F0"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56643D8F"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Estas reservas forestales pese a no ser áreas protegidas integrantes del Sistema Nacional de Áreas Protegidas – SINAP-, son consideradas como una estrategia de conservación in situ que aporta a la protección, planeación y manejo de los recursos naturales renovables y al cumplimiento de los objetivos generales de conservación del país; lo que las convierte en un determinante de primer nivel en el ordenamiento territorial, según lo establecido en el artículo  2.2.2.1.3.1 del Decreto 1076 de 2015. </w:t>
            </w:r>
          </w:p>
          <w:p w14:paraId="6794F3A7"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Estas áreas de Reserva Forestal han sido objeto de zonificación y ordenamiento por parte del Ministerio de Ambiente y Desarrollo Sostenible; razón por la cual tanto las Autoridades Ambientales, los entes territoriales (municipios), como los propietarios de predios privados y ocupantes, deben aplicar los lineamientos de ordenación definidos por cada una de las resoluciones citadas a continuación, para el adecuado manejo de las actividades productivas que se desarrollan actualmente en estas áreas de importancia ambiental:</w:t>
            </w:r>
          </w:p>
          <w:tbl>
            <w:tblPr>
              <w:tblW w:w="4668" w:type="dxa"/>
              <w:tblLayout w:type="fixed"/>
              <w:tblCellMar>
                <w:left w:w="70" w:type="dxa"/>
                <w:right w:w="70" w:type="dxa"/>
              </w:tblCellMar>
              <w:tblLook w:val="04A0" w:firstRow="1" w:lastRow="0" w:firstColumn="1" w:lastColumn="0" w:noHBand="0" w:noVBand="1"/>
            </w:tblPr>
            <w:tblGrid>
              <w:gridCol w:w="1975"/>
              <w:gridCol w:w="2693"/>
            </w:tblGrid>
            <w:tr w:rsidR="00827A41" w:rsidRPr="008F3AB1" w14:paraId="2EFEC924" w14:textId="77777777" w:rsidTr="00E24C10">
              <w:trPr>
                <w:trHeight w:val="225"/>
              </w:trPr>
              <w:tc>
                <w:tcPr>
                  <w:tcW w:w="1975" w:type="dxa"/>
                  <w:tcBorders>
                    <w:top w:val="single" w:sz="8" w:space="0" w:color="auto"/>
                    <w:left w:val="single" w:sz="8" w:space="0" w:color="auto"/>
                    <w:bottom w:val="single" w:sz="4" w:space="0" w:color="auto"/>
                    <w:right w:val="single" w:sz="4" w:space="0" w:color="auto"/>
                  </w:tcBorders>
                  <w:shd w:val="clear" w:color="000000" w:fill="DDEBF7"/>
                  <w:vAlign w:val="center"/>
                  <w:hideMark/>
                </w:tcPr>
                <w:p w14:paraId="13A6C325" w14:textId="5DAC0297" w:rsidR="00827A41" w:rsidRPr="008F3AB1" w:rsidRDefault="00827A41" w:rsidP="008F3AB1">
                  <w:pPr>
                    <w:framePr w:hSpace="142" w:wrap="around" w:vAnchor="text" w:hAnchor="text" w:x="-147" w:y="1"/>
                    <w:spacing w:after="0"/>
                    <w:jc w:val="center"/>
                    <w:rPr>
                      <w:rFonts w:eastAsia="Times New Roman" w:cs="Arial"/>
                      <w:b/>
                      <w:bCs/>
                      <w:color w:val="000000"/>
                      <w:sz w:val="20"/>
                      <w:szCs w:val="20"/>
                      <w:lang w:eastAsia="es-CO"/>
                    </w:rPr>
                  </w:pPr>
                  <w:r w:rsidRPr="008F3AB1">
                    <w:rPr>
                      <w:rFonts w:cs="Arial"/>
                      <w:sz w:val="20"/>
                      <w:szCs w:val="20"/>
                    </w:rPr>
                    <w:t xml:space="preserve"> </w:t>
                  </w:r>
                  <w:r w:rsidRPr="008F3AB1">
                    <w:rPr>
                      <w:rFonts w:eastAsia="Times New Roman" w:cs="Arial"/>
                      <w:b/>
                      <w:bCs/>
                      <w:color w:val="000000"/>
                      <w:sz w:val="20"/>
                      <w:szCs w:val="20"/>
                      <w:lang w:eastAsia="es-CO"/>
                    </w:rPr>
                    <w:t>Reserva Forestal Ley 2a de 1959</w:t>
                  </w:r>
                </w:p>
              </w:tc>
              <w:tc>
                <w:tcPr>
                  <w:tcW w:w="2693" w:type="dxa"/>
                  <w:tcBorders>
                    <w:top w:val="single" w:sz="8" w:space="0" w:color="auto"/>
                    <w:left w:val="nil"/>
                    <w:bottom w:val="single" w:sz="4" w:space="0" w:color="auto"/>
                    <w:right w:val="single" w:sz="8" w:space="0" w:color="auto"/>
                  </w:tcBorders>
                  <w:shd w:val="clear" w:color="000000" w:fill="DDEBF7"/>
                  <w:vAlign w:val="center"/>
                  <w:hideMark/>
                </w:tcPr>
                <w:p w14:paraId="7F991670" w14:textId="77777777" w:rsidR="00827A41" w:rsidRPr="008F3AB1" w:rsidRDefault="00827A41" w:rsidP="008F3AB1">
                  <w:pPr>
                    <w:framePr w:hSpace="142" w:wrap="around" w:vAnchor="text" w:hAnchor="text" w:x="-147" w:y="1"/>
                    <w:spacing w:after="0"/>
                    <w:jc w:val="center"/>
                    <w:rPr>
                      <w:rFonts w:eastAsia="Times New Roman" w:cs="Arial"/>
                      <w:b/>
                      <w:bCs/>
                      <w:color w:val="000000"/>
                      <w:sz w:val="20"/>
                      <w:szCs w:val="20"/>
                      <w:lang w:eastAsia="es-CO"/>
                    </w:rPr>
                  </w:pPr>
                  <w:r w:rsidRPr="008F3AB1">
                    <w:rPr>
                      <w:rFonts w:eastAsia="Times New Roman" w:cs="Arial"/>
                      <w:b/>
                      <w:bCs/>
                      <w:color w:val="000000"/>
                      <w:sz w:val="20"/>
                      <w:szCs w:val="20"/>
                      <w:lang w:eastAsia="es-CO"/>
                    </w:rPr>
                    <w:t>Acto administrativo que adopta la zonificación y el ordenamiento</w:t>
                  </w:r>
                </w:p>
              </w:tc>
            </w:tr>
            <w:tr w:rsidR="00827A41" w:rsidRPr="008F3AB1" w14:paraId="3BAD0E07" w14:textId="77777777" w:rsidTr="00E24C10">
              <w:trPr>
                <w:trHeight w:val="225"/>
              </w:trPr>
              <w:tc>
                <w:tcPr>
                  <w:tcW w:w="1975" w:type="dxa"/>
                  <w:tcBorders>
                    <w:top w:val="nil"/>
                    <w:left w:val="single" w:sz="8" w:space="0" w:color="auto"/>
                    <w:bottom w:val="single" w:sz="4" w:space="0" w:color="auto"/>
                    <w:right w:val="single" w:sz="4" w:space="0" w:color="auto"/>
                  </w:tcBorders>
                  <w:noWrap/>
                  <w:vAlign w:val="bottom"/>
                  <w:hideMark/>
                </w:tcPr>
                <w:p w14:paraId="7F7726B1"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Central</w:t>
                  </w:r>
                </w:p>
              </w:tc>
              <w:tc>
                <w:tcPr>
                  <w:tcW w:w="2693" w:type="dxa"/>
                  <w:tcBorders>
                    <w:top w:val="nil"/>
                    <w:left w:val="nil"/>
                    <w:bottom w:val="single" w:sz="4" w:space="0" w:color="auto"/>
                    <w:right w:val="single" w:sz="8" w:space="0" w:color="auto"/>
                  </w:tcBorders>
                  <w:noWrap/>
                  <w:vAlign w:val="bottom"/>
                  <w:hideMark/>
                </w:tcPr>
                <w:p w14:paraId="1914527C"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Resolución 1922 del 27 de diciembre de 2013</w:t>
                  </w:r>
                </w:p>
              </w:tc>
            </w:tr>
            <w:tr w:rsidR="00827A41" w:rsidRPr="008F3AB1" w14:paraId="7D967C1F" w14:textId="77777777" w:rsidTr="00E24C10">
              <w:trPr>
                <w:trHeight w:val="225"/>
              </w:trPr>
              <w:tc>
                <w:tcPr>
                  <w:tcW w:w="1975" w:type="dxa"/>
                  <w:tcBorders>
                    <w:top w:val="nil"/>
                    <w:left w:val="single" w:sz="8" w:space="0" w:color="auto"/>
                    <w:bottom w:val="single" w:sz="4" w:space="0" w:color="auto"/>
                    <w:right w:val="single" w:sz="4" w:space="0" w:color="auto"/>
                  </w:tcBorders>
                  <w:noWrap/>
                  <w:vAlign w:val="bottom"/>
                  <w:hideMark/>
                </w:tcPr>
                <w:p w14:paraId="78FFF81C"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Serranía de Los Motilones</w:t>
                  </w:r>
                </w:p>
              </w:tc>
              <w:tc>
                <w:tcPr>
                  <w:tcW w:w="2693" w:type="dxa"/>
                  <w:tcBorders>
                    <w:top w:val="nil"/>
                    <w:left w:val="nil"/>
                    <w:bottom w:val="single" w:sz="4" w:space="0" w:color="auto"/>
                    <w:right w:val="single" w:sz="8" w:space="0" w:color="auto"/>
                  </w:tcBorders>
                  <w:noWrap/>
                  <w:vAlign w:val="bottom"/>
                  <w:hideMark/>
                </w:tcPr>
                <w:p w14:paraId="0EDE34A6"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Resolución 1923 del 27 de diciembre de 2013</w:t>
                  </w:r>
                </w:p>
              </w:tc>
            </w:tr>
            <w:tr w:rsidR="00827A41" w:rsidRPr="008F3AB1" w14:paraId="30D3FE45" w14:textId="77777777" w:rsidTr="00E24C10">
              <w:trPr>
                <w:trHeight w:val="225"/>
              </w:trPr>
              <w:tc>
                <w:tcPr>
                  <w:tcW w:w="1975" w:type="dxa"/>
                  <w:tcBorders>
                    <w:top w:val="nil"/>
                    <w:left w:val="single" w:sz="8" w:space="0" w:color="auto"/>
                    <w:bottom w:val="single" w:sz="4" w:space="0" w:color="auto"/>
                    <w:right w:val="single" w:sz="4" w:space="0" w:color="auto"/>
                  </w:tcBorders>
                  <w:noWrap/>
                  <w:vAlign w:val="bottom"/>
                  <w:hideMark/>
                </w:tcPr>
                <w:p w14:paraId="1124BDD5"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Río Magdalena</w:t>
                  </w:r>
                </w:p>
              </w:tc>
              <w:tc>
                <w:tcPr>
                  <w:tcW w:w="2693" w:type="dxa"/>
                  <w:tcBorders>
                    <w:top w:val="nil"/>
                    <w:left w:val="nil"/>
                    <w:bottom w:val="single" w:sz="4" w:space="0" w:color="auto"/>
                    <w:right w:val="single" w:sz="8" w:space="0" w:color="auto"/>
                  </w:tcBorders>
                  <w:noWrap/>
                  <w:vAlign w:val="bottom"/>
                  <w:hideMark/>
                </w:tcPr>
                <w:p w14:paraId="49933E90"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Resolución 1924 del 30 de diciembre de 2013</w:t>
                  </w:r>
                </w:p>
              </w:tc>
            </w:tr>
            <w:tr w:rsidR="00827A41" w:rsidRPr="008F3AB1" w14:paraId="2E72C3BD" w14:textId="77777777" w:rsidTr="00E24C10">
              <w:trPr>
                <w:trHeight w:val="225"/>
              </w:trPr>
              <w:tc>
                <w:tcPr>
                  <w:tcW w:w="1975" w:type="dxa"/>
                  <w:tcBorders>
                    <w:top w:val="nil"/>
                    <w:left w:val="single" w:sz="8" w:space="0" w:color="auto"/>
                    <w:bottom w:val="single" w:sz="4" w:space="0" w:color="auto"/>
                    <w:right w:val="single" w:sz="4" w:space="0" w:color="auto"/>
                  </w:tcBorders>
                  <w:noWrap/>
                  <w:vAlign w:val="bottom"/>
                  <w:hideMark/>
                </w:tcPr>
                <w:p w14:paraId="4FCE5C61"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Amazonía (Caquetá, Guaviare y Huila)</w:t>
                  </w:r>
                </w:p>
              </w:tc>
              <w:tc>
                <w:tcPr>
                  <w:tcW w:w="2693" w:type="dxa"/>
                  <w:tcBorders>
                    <w:top w:val="nil"/>
                    <w:left w:val="nil"/>
                    <w:bottom w:val="single" w:sz="4" w:space="0" w:color="auto"/>
                    <w:right w:val="single" w:sz="8" w:space="0" w:color="auto"/>
                  </w:tcBorders>
                  <w:noWrap/>
                  <w:vAlign w:val="bottom"/>
                  <w:hideMark/>
                </w:tcPr>
                <w:p w14:paraId="3ABAE1BC"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Resolución 1925 del 30 de diciembre de 2013</w:t>
                  </w:r>
                </w:p>
              </w:tc>
            </w:tr>
            <w:tr w:rsidR="00827A41" w:rsidRPr="008F3AB1" w14:paraId="7B19E4E7" w14:textId="77777777" w:rsidTr="00E24C10">
              <w:trPr>
                <w:trHeight w:val="225"/>
              </w:trPr>
              <w:tc>
                <w:tcPr>
                  <w:tcW w:w="1975" w:type="dxa"/>
                  <w:tcBorders>
                    <w:top w:val="nil"/>
                    <w:left w:val="single" w:sz="8" w:space="0" w:color="auto"/>
                    <w:bottom w:val="single" w:sz="4" w:space="0" w:color="auto"/>
                    <w:right w:val="single" w:sz="4" w:space="0" w:color="auto"/>
                  </w:tcBorders>
                  <w:noWrap/>
                  <w:vAlign w:val="bottom"/>
                  <w:hideMark/>
                </w:tcPr>
                <w:p w14:paraId="03CBE65B"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Pacífico</w:t>
                  </w:r>
                </w:p>
              </w:tc>
              <w:tc>
                <w:tcPr>
                  <w:tcW w:w="2693" w:type="dxa"/>
                  <w:tcBorders>
                    <w:top w:val="nil"/>
                    <w:left w:val="nil"/>
                    <w:bottom w:val="single" w:sz="4" w:space="0" w:color="auto"/>
                    <w:right w:val="single" w:sz="8" w:space="0" w:color="auto"/>
                  </w:tcBorders>
                  <w:noWrap/>
                  <w:vAlign w:val="bottom"/>
                  <w:hideMark/>
                </w:tcPr>
                <w:p w14:paraId="4050E97B"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Resolución 1926 del 30 de diciembre de 2013</w:t>
                  </w:r>
                </w:p>
              </w:tc>
            </w:tr>
            <w:tr w:rsidR="00827A41" w:rsidRPr="008F3AB1" w14:paraId="116C67C6" w14:textId="77777777" w:rsidTr="00E24C10">
              <w:trPr>
                <w:trHeight w:val="225"/>
              </w:trPr>
              <w:tc>
                <w:tcPr>
                  <w:tcW w:w="1975" w:type="dxa"/>
                  <w:tcBorders>
                    <w:top w:val="nil"/>
                    <w:left w:val="single" w:sz="8" w:space="0" w:color="auto"/>
                    <w:bottom w:val="single" w:sz="4" w:space="0" w:color="auto"/>
                    <w:right w:val="single" w:sz="4" w:space="0" w:color="auto"/>
                  </w:tcBorders>
                  <w:noWrap/>
                  <w:vAlign w:val="bottom"/>
                  <w:hideMark/>
                </w:tcPr>
                <w:p w14:paraId="2B6F6E3A"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Cocuy</w:t>
                  </w:r>
                </w:p>
              </w:tc>
              <w:tc>
                <w:tcPr>
                  <w:tcW w:w="2693" w:type="dxa"/>
                  <w:tcBorders>
                    <w:top w:val="nil"/>
                    <w:left w:val="nil"/>
                    <w:bottom w:val="single" w:sz="4" w:space="0" w:color="auto"/>
                    <w:right w:val="single" w:sz="8" w:space="0" w:color="auto"/>
                  </w:tcBorders>
                  <w:noWrap/>
                  <w:vAlign w:val="bottom"/>
                  <w:hideMark/>
                </w:tcPr>
                <w:p w14:paraId="6CE467BB"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Resolución 1275 del 06 de agosto de 2014</w:t>
                  </w:r>
                </w:p>
              </w:tc>
            </w:tr>
            <w:tr w:rsidR="00827A41" w:rsidRPr="008F3AB1" w14:paraId="09D173B9" w14:textId="77777777" w:rsidTr="00E24C10">
              <w:trPr>
                <w:trHeight w:val="225"/>
              </w:trPr>
              <w:tc>
                <w:tcPr>
                  <w:tcW w:w="1975" w:type="dxa"/>
                  <w:tcBorders>
                    <w:top w:val="nil"/>
                    <w:left w:val="single" w:sz="8" w:space="0" w:color="auto"/>
                    <w:bottom w:val="single" w:sz="4" w:space="0" w:color="auto"/>
                    <w:right w:val="single" w:sz="4" w:space="0" w:color="auto"/>
                  </w:tcBorders>
                  <w:noWrap/>
                  <w:vAlign w:val="bottom"/>
                  <w:hideMark/>
                </w:tcPr>
                <w:p w14:paraId="06D5CDB5"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Sierra Nevada de Santa Marta</w:t>
                  </w:r>
                </w:p>
              </w:tc>
              <w:tc>
                <w:tcPr>
                  <w:tcW w:w="2693" w:type="dxa"/>
                  <w:tcBorders>
                    <w:top w:val="nil"/>
                    <w:left w:val="nil"/>
                    <w:bottom w:val="single" w:sz="4" w:space="0" w:color="auto"/>
                    <w:right w:val="single" w:sz="8" w:space="0" w:color="auto"/>
                  </w:tcBorders>
                  <w:noWrap/>
                  <w:vAlign w:val="bottom"/>
                  <w:hideMark/>
                </w:tcPr>
                <w:p w14:paraId="534143C3"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Resolución 1276 del 06 de agosto de 2014</w:t>
                  </w:r>
                </w:p>
              </w:tc>
            </w:tr>
            <w:tr w:rsidR="00827A41" w:rsidRPr="008F3AB1" w14:paraId="1E30372C" w14:textId="77777777" w:rsidTr="00E24C10">
              <w:trPr>
                <w:trHeight w:val="240"/>
              </w:trPr>
              <w:tc>
                <w:tcPr>
                  <w:tcW w:w="1975" w:type="dxa"/>
                  <w:tcBorders>
                    <w:top w:val="nil"/>
                    <w:left w:val="single" w:sz="8" w:space="0" w:color="auto"/>
                    <w:bottom w:val="single" w:sz="8" w:space="0" w:color="auto"/>
                    <w:right w:val="single" w:sz="4" w:space="0" w:color="auto"/>
                  </w:tcBorders>
                  <w:noWrap/>
                  <w:vAlign w:val="bottom"/>
                  <w:hideMark/>
                </w:tcPr>
                <w:p w14:paraId="4351388E"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t xml:space="preserve">Amazonía (Amazonas, Cauca, </w:t>
                  </w:r>
                  <w:r w:rsidRPr="008F3AB1">
                    <w:rPr>
                      <w:rFonts w:eastAsia="Times New Roman" w:cs="Arial"/>
                      <w:color w:val="000000"/>
                      <w:sz w:val="20"/>
                      <w:szCs w:val="20"/>
                      <w:lang w:eastAsia="es-CO"/>
                    </w:rPr>
                    <w:lastRenderedPageBreak/>
                    <w:t>Guainía, Putumayo y Vaupés)</w:t>
                  </w:r>
                </w:p>
              </w:tc>
              <w:tc>
                <w:tcPr>
                  <w:tcW w:w="2693" w:type="dxa"/>
                  <w:tcBorders>
                    <w:top w:val="nil"/>
                    <w:left w:val="nil"/>
                    <w:bottom w:val="single" w:sz="8" w:space="0" w:color="auto"/>
                    <w:right w:val="single" w:sz="8" w:space="0" w:color="auto"/>
                  </w:tcBorders>
                  <w:noWrap/>
                  <w:vAlign w:val="bottom"/>
                  <w:hideMark/>
                </w:tcPr>
                <w:p w14:paraId="1DF369D8" w14:textId="77777777" w:rsidR="00827A41" w:rsidRPr="008F3AB1" w:rsidRDefault="00827A41" w:rsidP="008F3AB1">
                  <w:pPr>
                    <w:framePr w:hSpace="142" w:wrap="around" w:vAnchor="text" w:hAnchor="text" w:x="-147" w:y="1"/>
                    <w:spacing w:after="0"/>
                    <w:rPr>
                      <w:rFonts w:eastAsia="Times New Roman" w:cs="Arial"/>
                      <w:color w:val="000000"/>
                      <w:sz w:val="20"/>
                      <w:szCs w:val="20"/>
                      <w:lang w:eastAsia="es-CO"/>
                    </w:rPr>
                  </w:pPr>
                  <w:r w:rsidRPr="008F3AB1">
                    <w:rPr>
                      <w:rFonts w:eastAsia="Times New Roman" w:cs="Arial"/>
                      <w:color w:val="000000"/>
                      <w:sz w:val="20"/>
                      <w:szCs w:val="20"/>
                      <w:lang w:eastAsia="es-CO"/>
                    </w:rPr>
                    <w:lastRenderedPageBreak/>
                    <w:t>Resolución 1277 del 06 de agosto de 2014</w:t>
                  </w:r>
                </w:p>
              </w:tc>
            </w:tr>
          </w:tbl>
          <w:p w14:paraId="3AC15333"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25A1988E"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Las citadas resoluciones, tienen el propósito de suministrar elementos técnicos a tener en cuenta en los procesos de planificación del ordenamiento ambiental y territorial, por lo cual no crearon una lista de actividades que no requieran sustracción.</w:t>
            </w:r>
          </w:p>
          <w:p w14:paraId="46EF0E60"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Se destaca la relevancia de la Reserva Forestal Central, ya que esta reserva forestal ocupa la mayor parte de las áreas donde actualmente se produce el aguacate en el país.</w:t>
            </w:r>
          </w:p>
          <w:p w14:paraId="5C0753C3" w14:textId="77777777" w:rsidR="00827A41" w:rsidRPr="008F3AB1" w:rsidRDefault="00827A41" w:rsidP="00E24C10">
            <w:pPr>
              <w:keepNext/>
              <w:keepLines/>
              <w:spacing w:before="24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Las resoluciones de zonificación y ordenamiento no modifican el régimen jurídico de las reservas forestales, por lo cual para el desarrollo de actividades que reúnan los presupuestos fácticos y jurídicos del artículo 210 del Decreto 2811 de 1974, debe solicitarse la sustracción previa del área.</w:t>
            </w:r>
          </w:p>
          <w:p w14:paraId="20254658"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 </w:t>
            </w:r>
          </w:p>
        </w:tc>
      </w:tr>
      <w:tr w:rsidR="00827A41" w:rsidRPr="008F3AB1" w14:paraId="3FBE7A61" w14:textId="77777777" w:rsidTr="008F3AB1">
        <w:trPr>
          <w:cnfStyle w:val="000000100000" w:firstRow="0" w:lastRow="0" w:firstColumn="0" w:lastColumn="0" w:oddVBand="0" w:evenVBand="0" w:oddHBand="1" w:evenHBand="0" w:firstRowFirstColumn="0" w:firstRowLastColumn="0" w:lastRowFirstColumn="0" w:lastRowLastColumn="0"/>
          <w:trHeight w:val="3680"/>
        </w:trPr>
        <w:tc>
          <w:tcPr>
            <w:cnfStyle w:val="001000000000" w:firstRow="0" w:lastRow="0" w:firstColumn="1" w:lastColumn="0" w:oddVBand="0" w:evenVBand="0" w:oddHBand="0" w:evenHBand="0" w:firstRowFirstColumn="0" w:firstRowLastColumn="0" w:lastRowFirstColumn="0" w:lastRowLastColumn="0"/>
            <w:tcW w:w="1984" w:type="dxa"/>
            <w:vMerge w:val="restart"/>
          </w:tcPr>
          <w:p w14:paraId="49F23403" w14:textId="77777777" w:rsidR="00827A41" w:rsidRPr="008F3AB1" w:rsidRDefault="00827A41" w:rsidP="00E24C10">
            <w:pPr>
              <w:rPr>
                <w:rFonts w:cs="Arial"/>
                <w:sz w:val="20"/>
                <w:szCs w:val="20"/>
              </w:rPr>
            </w:pPr>
            <w:r w:rsidRPr="008F3AB1">
              <w:rPr>
                <w:rFonts w:cs="Arial"/>
                <w:sz w:val="20"/>
                <w:szCs w:val="20"/>
              </w:rPr>
              <w:lastRenderedPageBreak/>
              <w:t>Uso de los Recursos Naturales Renovables y Protección al medio ambiente</w:t>
            </w:r>
          </w:p>
        </w:tc>
        <w:tc>
          <w:tcPr>
            <w:tcW w:w="1845" w:type="dxa"/>
            <w:tcBorders>
              <w:bottom w:val="single" w:sz="4" w:space="0" w:color="auto"/>
            </w:tcBorders>
          </w:tcPr>
          <w:p w14:paraId="6E6BE457"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Decreto Ley 2811 de 1974. “Por el cual se dicta el Código Nacional de Recursos Naturales Renovables y de Protección al Medio Ambiente.” </w:t>
            </w:r>
            <w:sdt>
              <w:sdtPr>
                <w:rPr>
                  <w:rFonts w:cs="Arial"/>
                  <w:sz w:val="20"/>
                  <w:szCs w:val="20"/>
                </w:rPr>
                <w:id w:val="774522143"/>
                <w:citation/>
              </w:sdtPr>
              <w:sdtContent>
                <w:r w:rsidRPr="008F3AB1">
                  <w:rPr>
                    <w:rFonts w:cs="Arial"/>
                    <w:sz w:val="20"/>
                    <w:szCs w:val="20"/>
                  </w:rPr>
                  <w:fldChar w:fldCharType="begin"/>
                </w:r>
                <w:r w:rsidRPr="008F3AB1">
                  <w:rPr>
                    <w:rFonts w:cs="Arial"/>
                    <w:sz w:val="20"/>
                    <w:szCs w:val="20"/>
                  </w:rPr>
                  <w:instrText xml:space="preserve">CITATION Pre74 \l 9226 </w:instrText>
                </w:r>
                <w:r w:rsidRPr="008F3AB1">
                  <w:rPr>
                    <w:rFonts w:cs="Arial"/>
                    <w:sz w:val="20"/>
                    <w:szCs w:val="20"/>
                  </w:rPr>
                  <w:fldChar w:fldCharType="separate"/>
                </w:r>
                <w:r w:rsidRPr="008F3AB1">
                  <w:rPr>
                    <w:rFonts w:cs="Arial"/>
                    <w:noProof/>
                    <w:sz w:val="20"/>
                    <w:szCs w:val="20"/>
                  </w:rPr>
                  <w:t>(Presidencia de la República de Colombia, 1974)</w:t>
                </w:r>
                <w:r w:rsidRPr="008F3AB1">
                  <w:rPr>
                    <w:rFonts w:cs="Arial"/>
                    <w:sz w:val="20"/>
                    <w:szCs w:val="20"/>
                  </w:rPr>
                  <w:fldChar w:fldCharType="end"/>
                </w:r>
              </w:sdtContent>
            </w:sdt>
          </w:p>
          <w:p w14:paraId="3C23C2AF"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tcBorders>
              <w:bottom w:val="single" w:sz="4" w:space="0" w:color="auto"/>
            </w:tcBorders>
          </w:tcPr>
          <w:p w14:paraId="42F08EC3"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El artículo 67 y 68 estableció el derecho a usar los recursos naturales renovables puede ser adquirido por ministerio de la Ley, permiso, concesión y asociación.</w:t>
            </w:r>
          </w:p>
          <w:p w14:paraId="52244922"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Los artículos 13 al 22 establece que los permisos se otorgan a partir de la solicitud de los interesados ante las autoridades ambientales, en los casos previstos en la norma nacional (aprovechamiento forestal, ocupación de cauces, emisiones atmosféricas, vertimientos)</w:t>
            </w:r>
          </w:p>
          <w:p w14:paraId="1D256C75" w14:textId="0C3A81F2" w:rsidR="00827A41" w:rsidRPr="008F3AB1" w:rsidRDefault="00827A41" w:rsidP="008F3AB1">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El artículo 86 define que las concesiones se otorgan a los interesados partir de la solicitud ante las autoridades ambientales, aplica para concesión de aguas superficiales, subterráneas, cumpliendo los requisitos dados por dicha autoridad ambiental.</w:t>
            </w:r>
          </w:p>
        </w:tc>
      </w:tr>
      <w:tr w:rsidR="00827A41" w:rsidRPr="008F3AB1" w14:paraId="5C52816D" w14:textId="77777777" w:rsidTr="00E24C10">
        <w:trPr>
          <w:trHeight w:val="1978"/>
        </w:trPr>
        <w:tc>
          <w:tcPr>
            <w:cnfStyle w:val="001000000000" w:firstRow="0" w:lastRow="0" w:firstColumn="1" w:lastColumn="0" w:oddVBand="0" w:evenVBand="0" w:oddHBand="0" w:evenHBand="0" w:firstRowFirstColumn="0" w:firstRowLastColumn="0" w:lastRowFirstColumn="0" w:lastRowLastColumn="0"/>
            <w:tcW w:w="1984" w:type="dxa"/>
            <w:vMerge/>
          </w:tcPr>
          <w:p w14:paraId="0969A5B8" w14:textId="77777777" w:rsidR="00827A41" w:rsidRPr="008F3AB1" w:rsidRDefault="00827A41" w:rsidP="00E24C10">
            <w:pPr>
              <w:rPr>
                <w:rFonts w:cs="Arial"/>
                <w:sz w:val="20"/>
                <w:szCs w:val="20"/>
              </w:rPr>
            </w:pPr>
          </w:p>
        </w:tc>
        <w:tc>
          <w:tcPr>
            <w:tcW w:w="1845" w:type="dxa"/>
            <w:tcBorders>
              <w:top w:val="single" w:sz="4" w:space="0" w:color="auto"/>
            </w:tcBorders>
          </w:tcPr>
          <w:p w14:paraId="35074C73"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Decreto 1076 de 2015</w:t>
            </w:r>
          </w:p>
          <w:p w14:paraId="740CB1FD"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tcBorders>
              <w:top w:val="single" w:sz="4" w:space="0" w:color="auto"/>
            </w:tcBorders>
          </w:tcPr>
          <w:p w14:paraId="26152B6D"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Para cualquier actividad productiva es necesario contar con los permisos para el uso de los recursos naturales otorgados por las autoridades ambientales.</w:t>
            </w:r>
          </w:p>
          <w:p w14:paraId="62EA9492"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Según el artículo 2.2.2.3.2.1 del Decreto 1076 de 2015, cuando los proyectos son considerados de alto impacto, deben tramitar licencias ambientales para mitigar los impactos o el uso sobre los recursos naturales afectados por la actividad. De manera general un cultivo de aguacate no requiere licencia, pero en los casos en que el cultivo cuente con infraestructura o agroindustria al interior de áreas protegidas públicas y su uso sea compatible en su interior, o en el caso de que los cultivos de aguacate genere infraestructura vial nueva, debe contar con licencia.</w:t>
            </w:r>
          </w:p>
        </w:tc>
      </w:tr>
      <w:tr w:rsidR="00827A41" w:rsidRPr="008F3AB1" w14:paraId="325A5CEF"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643C0B03" w14:textId="77777777" w:rsidR="00827A41" w:rsidRPr="008F3AB1" w:rsidRDefault="00827A41" w:rsidP="00E24C10">
            <w:pPr>
              <w:rPr>
                <w:rFonts w:cs="Arial"/>
                <w:sz w:val="20"/>
                <w:szCs w:val="20"/>
              </w:rPr>
            </w:pPr>
            <w:r w:rsidRPr="008F3AB1">
              <w:rPr>
                <w:rFonts w:cs="Arial"/>
                <w:sz w:val="20"/>
                <w:szCs w:val="20"/>
              </w:rPr>
              <w:lastRenderedPageBreak/>
              <w:t>Ecosistemas estratégicos</w:t>
            </w:r>
          </w:p>
        </w:tc>
        <w:tc>
          <w:tcPr>
            <w:tcW w:w="1845" w:type="dxa"/>
          </w:tcPr>
          <w:p w14:paraId="6E7F58D0" w14:textId="77777777" w:rsidR="00827A41" w:rsidRPr="008F3AB1" w:rsidRDefault="00827A41" w:rsidP="00E24C10">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p w14:paraId="267F24E4" w14:textId="77777777" w:rsidR="00827A41" w:rsidRPr="008F3AB1" w:rsidRDefault="00827A41" w:rsidP="00E24C10">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p w14:paraId="76B70615" w14:textId="77777777" w:rsidR="00827A41" w:rsidRPr="008F3AB1" w:rsidRDefault="00827A41" w:rsidP="00E24C10">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p w14:paraId="667149DD" w14:textId="77777777" w:rsidR="00827A41" w:rsidRPr="008F3AB1" w:rsidRDefault="00827A41" w:rsidP="00E24C10">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p w14:paraId="232B9567" w14:textId="77777777" w:rsidR="00827A41" w:rsidRPr="008F3AB1" w:rsidRDefault="00827A41" w:rsidP="00E24C10">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Ley 1930 de 2018</w:t>
            </w:r>
          </w:p>
          <w:p w14:paraId="5A0F5C65" w14:textId="77777777" w:rsidR="00827A41" w:rsidRPr="008F3AB1" w:rsidRDefault="00827A41" w:rsidP="00E24C10">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w:t>
            </w:r>
            <w:r w:rsidRPr="008F3AB1">
              <w:rPr>
                <w:rFonts w:cs="Arial"/>
                <w:i/>
                <w:sz w:val="20"/>
                <w:szCs w:val="20"/>
              </w:rPr>
              <w:t>Por medio de la cual se dictan disposiciones para la gestión integral de los páramos en Colombia</w:t>
            </w:r>
            <w:r w:rsidRPr="008F3AB1">
              <w:rPr>
                <w:rFonts w:cs="Arial"/>
                <w:sz w:val="20"/>
                <w:szCs w:val="20"/>
              </w:rPr>
              <w:t xml:space="preserve">” </w:t>
            </w:r>
          </w:p>
          <w:p w14:paraId="1A586F94" w14:textId="77777777" w:rsidR="00827A41" w:rsidRPr="008F3AB1" w:rsidRDefault="00827A41" w:rsidP="00E24C10">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p w14:paraId="4DBD2EEC" w14:textId="77777777" w:rsidR="00827A41" w:rsidRPr="008F3AB1" w:rsidRDefault="00827A41" w:rsidP="00E24C10">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tcPr>
          <w:p w14:paraId="6DBDE960"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La Ley establece como ecosistemas estratégicos los páramos, fija las directrices que propendan por su integralidad, preservación, restauración, uso sostenible y generación de conocimiento. </w:t>
            </w:r>
          </w:p>
          <w:p w14:paraId="29AEF951"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El artículo 4 Indica que el Ministerio de Ambiente y Desarrollo Sostenible hará la delimitación de los páramos con base en el área de referencia generada por el </w:t>
            </w:r>
            <w:r w:rsidRPr="008F3AB1">
              <w:rPr>
                <w:rStyle w:val="cf01"/>
                <w:rFonts w:ascii="Arial" w:hAnsi="Arial" w:cs="Arial"/>
                <w:sz w:val="20"/>
                <w:szCs w:val="20"/>
              </w:rPr>
              <w:t>Instituto de Investigaciones Biológicas Alexander von Humboldt</w:t>
            </w:r>
            <w:r w:rsidRPr="008F3AB1">
              <w:rPr>
                <w:rFonts w:cs="Arial"/>
                <w:sz w:val="20"/>
                <w:szCs w:val="20"/>
              </w:rPr>
              <w:t xml:space="preserve"> escala 1:25.000 o la que esté disponible y los estudios técnicos, económicos, sociales y ambientales elaborados por la autoridad ambiental regional de conformidad con los términos de referencia expedidos por el Ministerio de Ambiente y Desarrollo Sostenible. </w:t>
            </w:r>
          </w:p>
          <w:p w14:paraId="57FAEBDB"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El artículo 9 parágrafo 1 indica que los páramos delimitados se constituyen en determinante ambiental y debe incorporarse en el ordenamiento territorial</w:t>
            </w:r>
          </w:p>
          <w:p w14:paraId="6DCCD7BD"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Adicionalmente, el artículo 6 define que los páramos deben contar con planes de manejo formulados por las autoridades ambientales contemplar y formular acciones orientadas a la preservación, restauración, uso sostenible y generación de conocimiento de los páramos y también se constituyen en determinante ambiental.</w:t>
            </w:r>
          </w:p>
          <w:p w14:paraId="70B3B9A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Finalmente, en el artículo 10 se indica que en los páramos solo se pueden realizar actividades agropecuarias de bajo impacto, haciendo uso de las buenas prácticas que cumplen con los estándares ambientales y en defensa de los páramos. Según reglamentación del Ministerio de Ambiente y Desarrollo Sostenible junto con el Ministerio de Agricultura y Desarrollo Rural se tienen prohibidas las actividades mineras. </w:t>
            </w:r>
          </w:p>
          <w:p w14:paraId="6D24A853" w14:textId="3F3D6F6D" w:rsidR="00827A41" w:rsidRPr="008F3AB1" w:rsidRDefault="00827A41" w:rsidP="008F3AB1">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Las actividades agropecuarias de alto impacto serán objeto de sustitución y reconversión y pequeños mineros tradicionales que se venían desarrollando con anterioridad al 16 de junio de 2011. </w:t>
            </w:r>
          </w:p>
        </w:tc>
      </w:tr>
      <w:tr w:rsidR="00827A41" w:rsidRPr="008F3AB1" w14:paraId="7A33454B" w14:textId="77777777" w:rsidTr="00E24C10">
        <w:tc>
          <w:tcPr>
            <w:cnfStyle w:val="001000000000" w:firstRow="0" w:lastRow="0" w:firstColumn="1" w:lastColumn="0" w:oddVBand="0" w:evenVBand="0" w:oddHBand="0" w:evenHBand="0" w:firstRowFirstColumn="0" w:firstRowLastColumn="0" w:lastRowFirstColumn="0" w:lastRowLastColumn="0"/>
            <w:tcW w:w="1984" w:type="dxa"/>
          </w:tcPr>
          <w:p w14:paraId="4FABFC23" w14:textId="77777777" w:rsidR="00827A41" w:rsidRPr="008F3AB1" w:rsidRDefault="00827A41" w:rsidP="00E24C10">
            <w:pPr>
              <w:rPr>
                <w:rFonts w:cs="Arial"/>
                <w:sz w:val="20"/>
                <w:szCs w:val="20"/>
              </w:rPr>
            </w:pPr>
            <w:r w:rsidRPr="008F3AB1">
              <w:rPr>
                <w:rFonts w:cs="Arial"/>
                <w:sz w:val="20"/>
                <w:szCs w:val="20"/>
              </w:rPr>
              <w:t>Ecosistemas estratégicos</w:t>
            </w:r>
          </w:p>
        </w:tc>
        <w:tc>
          <w:tcPr>
            <w:tcW w:w="1845" w:type="dxa"/>
          </w:tcPr>
          <w:p w14:paraId="6CD59524"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Ley 357 de 1997 por medio de la cual se aprueba la </w:t>
            </w:r>
            <w:r w:rsidRPr="008F3AB1">
              <w:rPr>
                <w:rFonts w:cs="Arial"/>
                <w:i/>
                <w:sz w:val="20"/>
                <w:szCs w:val="20"/>
              </w:rPr>
              <w:t xml:space="preserve">"Convención Relativa a los Humedales de Importancia Internacional Especialmente como Hábitat de Aves Acuáticas", suscrita en Ramsar el dos (2) de febrero de mil </w:t>
            </w:r>
            <w:r w:rsidRPr="008F3AB1">
              <w:rPr>
                <w:rFonts w:cs="Arial"/>
                <w:i/>
                <w:sz w:val="20"/>
                <w:szCs w:val="20"/>
              </w:rPr>
              <w:lastRenderedPageBreak/>
              <w:t>novecientos setenta y uno (1971)</w:t>
            </w:r>
          </w:p>
          <w:p w14:paraId="74754394"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Ley 1450 de 2011</w:t>
            </w:r>
          </w:p>
          <w:p w14:paraId="51AE880A"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i/>
                <w:sz w:val="20"/>
                <w:szCs w:val="20"/>
              </w:rPr>
            </w:pPr>
            <w:r w:rsidRPr="008F3AB1">
              <w:rPr>
                <w:rFonts w:cs="Arial"/>
                <w:i/>
                <w:sz w:val="20"/>
                <w:szCs w:val="20"/>
              </w:rPr>
              <w:t>“Por la cual se expide el Plan Nacional de Desarrollo, 2010-2014.”</w:t>
            </w:r>
          </w:p>
          <w:p w14:paraId="1683E5C4" w14:textId="01846113" w:rsidR="00827A41" w:rsidRPr="008F3AB1" w:rsidRDefault="00827A41" w:rsidP="008F3AB1">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Ley 2478 de 2025</w:t>
            </w:r>
            <w:r w:rsidRPr="008F3AB1">
              <w:rPr>
                <w:rFonts w:cs="Arial"/>
              </w:rPr>
              <w:t xml:space="preserve"> </w:t>
            </w:r>
            <w:r w:rsidRPr="008F3AB1">
              <w:rPr>
                <w:rFonts w:cs="Arial"/>
                <w:i/>
                <w:sz w:val="20"/>
                <w:szCs w:val="20"/>
              </w:rPr>
              <w:t>Por medio de la cual se promueve la conservación de humedales en el territorio nacional y se dictan otras disposiciones</w:t>
            </w:r>
          </w:p>
        </w:tc>
        <w:tc>
          <w:tcPr>
            <w:tcW w:w="5527" w:type="dxa"/>
          </w:tcPr>
          <w:p w14:paraId="5D124ADF"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La Ley 357 de 1997, Colombia ratifica su vinculación al convenio Ramsar para la protección de los humedales. El objeto primordial es la conservación y protección de los humedales de importancia internacional que albergan las aves acuáticas que dependen ecológicamente de los humedales.</w:t>
            </w:r>
          </w:p>
          <w:p w14:paraId="245CDBFF" w14:textId="3450B63B"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Estos son definidos como ecosistemas estratégicos, objeto de protección por parte de la nación, incluye el cuidado, mantenimiento y recuperación de los sistemas hídricos y la preservación.</w:t>
            </w:r>
          </w:p>
          <w:p w14:paraId="0E89552E"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La Ley 1450 de 2011, indica que estos deben ser delimitados y conservados, se constituyen en suelo de protección para la biodiversidad.</w:t>
            </w:r>
          </w:p>
          <w:p w14:paraId="12C71312"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La ley 2478 de 2025</w:t>
            </w:r>
            <w:r w:rsidRPr="008F3AB1">
              <w:rPr>
                <w:rFonts w:cs="Arial"/>
              </w:rPr>
              <w:t xml:space="preserve"> </w:t>
            </w:r>
            <w:r w:rsidRPr="008F3AB1">
              <w:rPr>
                <w:rFonts w:cs="Arial"/>
                <w:sz w:val="20"/>
                <w:szCs w:val="20"/>
              </w:rPr>
              <w:t>promueve la conservación de humedales en el territorio nacional a través de los inventarios, planes de manejo, plan de acción de humedales de importancia nacional y la reconversión de actividades prohibidas en los humedales, junto con el monitoreo y su incorporación en el ordenamiento territorial como suelo de protección.</w:t>
            </w:r>
          </w:p>
        </w:tc>
      </w:tr>
      <w:tr w:rsidR="00827A41" w:rsidRPr="008F3AB1" w14:paraId="2EF898F3"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BF65173" w14:textId="77777777" w:rsidR="00827A41" w:rsidRPr="008F3AB1" w:rsidRDefault="00827A41" w:rsidP="00E24C10">
            <w:pPr>
              <w:rPr>
                <w:rFonts w:cs="Arial"/>
                <w:sz w:val="20"/>
                <w:szCs w:val="20"/>
              </w:rPr>
            </w:pPr>
            <w:r w:rsidRPr="008F3AB1">
              <w:rPr>
                <w:rFonts w:cs="Arial"/>
                <w:sz w:val="20"/>
                <w:szCs w:val="20"/>
              </w:rPr>
              <w:lastRenderedPageBreak/>
              <w:t>Determinantes ambientales</w:t>
            </w:r>
          </w:p>
        </w:tc>
        <w:tc>
          <w:tcPr>
            <w:tcW w:w="1845" w:type="dxa"/>
          </w:tcPr>
          <w:p w14:paraId="539F5E5A"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23F377AB"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4E428DD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6A48968B"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Ley 388 de 1997</w:t>
            </w:r>
          </w:p>
          <w:p w14:paraId="7DC4551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i/>
                <w:sz w:val="20"/>
                <w:szCs w:val="20"/>
              </w:rPr>
            </w:pPr>
            <w:r w:rsidRPr="008F3AB1">
              <w:rPr>
                <w:rFonts w:cs="Arial"/>
                <w:i/>
                <w:sz w:val="20"/>
                <w:szCs w:val="20"/>
              </w:rPr>
              <w:t>Por la cual se modifica la Ley 9 de 1989, y la Ley 2 de 1991 y se dictan otras disposiciones</w:t>
            </w:r>
          </w:p>
          <w:p w14:paraId="70016A8F"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0161DF12"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tcPr>
          <w:p w14:paraId="22B77767"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Esta Ley genera el marco normativo para el ordenamiento territorial municipal a través de los instrumentos: Planes de Ordenamiento Territorial, Planes Básicos de Ordenamiento Territorial o Esquemas de Ordenamiento Territorial según las condiciones de los municipios.</w:t>
            </w:r>
          </w:p>
          <w:p w14:paraId="23296B86" w14:textId="4A2D0FEC"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En materia ambiental, genera las Determinantes para el ordenamiento territorial y dentro de ellas las relacionadas con los temas ambientales, las cuales constituyen normas de superior jerarquía y deben ser incorporadas en los respectivos instrumentos de ordenamiento territorial:</w:t>
            </w:r>
          </w:p>
          <w:p w14:paraId="5DAFFBD5" w14:textId="557FAF1C"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Nivel 1. Las determinantes relacionadas con la conservación, la protección del ambiente y los ecosistemas, el ciclo del agua, los recursos naturales, la prevención de amenazas y riesgos de desastres, la gestión del cambio climático y la soberanía alimentaria:</w:t>
            </w:r>
          </w:p>
          <w:p w14:paraId="435D01B5" w14:textId="77777777" w:rsidR="00827A41" w:rsidRPr="008F3AB1" w:rsidRDefault="00827A41" w:rsidP="005306CE">
            <w:pPr>
              <w:pStyle w:val="Prrafodelista"/>
              <w:widowControl/>
              <w:numPr>
                <w:ilvl w:val="0"/>
                <w:numId w:val="37"/>
              </w:numPr>
              <w:autoSpaceDE/>
              <w:autoSpaceDN/>
              <w:contextualSpacing/>
              <w:cnfStyle w:val="000000100000" w:firstRow="0" w:lastRow="0" w:firstColumn="0" w:lastColumn="0" w:oddVBand="0" w:evenVBand="0" w:oddHBand="1" w:evenHBand="0" w:firstRowFirstColumn="0" w:firstRowLastColumn="0" w:lastRowFirstColumn="0" w:lastRowLastColumn="0"/>
              <w:rPr>
                <w:sz w:val="20"/>
                <w:szCs w:val="20"/>
                <w:lang w:val="es-MX"/>
              </w:rPr>
            </w:pPr>
            <w:r w:rsidRPr="008F3AB1">
              <w:rPr>
                <w:sz w:val="20"/>
                <w:szCs w:val="20"/>
                <w:lang w:val="es-MX"/>
              </w:rPr>
              <w:t xml:space="preserve">Las directrices, normas y reglamentos expedidos en ejercicio de sus respectivas facultades legales por las entidades del Sistema Nacional. Ambiental en los aspectos relacionados con el ordenamiento espacial del territorio, de acuerdo con la Ley 99 de 1993 y el Código de Recursos Naturales y demás normativa concordante, tales como las limitaciones derivadas del estatuto de zonificación de uso adecuado del territorio y las regulaciones nocionales sobre uso del suelo en lo concerniente exclusivamente a sus aspectos ambientales. </w:t>
            </w:r>
          </w:p>
          <w:p w14:paraId="621742BC" w14:textId="77777777" w:rsidR="00827A41" w:rsidRPr="008F3AB1" w:rsidRDefault="00827A41" w:rsidP="005306CE">
            <w:pPr>
              <w:pStyle w:val="Prrafodelista"/>
              <w:widowControl/>
              <w:numPr>
                <w:ilvl w:val="0"/>
                <w:numId w:val="37"/>
              </w:numPr>
              <w:autoSpaceDE/>
              <w:autoSpaceDN/>
              <w:contextualSpacing/>
              <w:cnfStyle w:val="000000100000" w:firstRow="0" w:lastRow="0" w:firstColumn="0" w:lastColumn="0" w:oddVBand="0" w:evenVBand="0" w:oddHBand="1" w:evenHBand="0" w:firstRowFirstColumn="0" w:firstRowLastColumn="0" w:lastRowFirstColumn="0" w:lastRowLastColumn="0"/>
              <w:rPr>
                <w:sz w:val="20"/>
                <w:szCs w:val="20"/>
                <w:lang w:val="es-MX"/>
              </w:rPr>
            </w:pPr>
            <w:r w:rsidRPr="008F3AB1">
              <w:rPr>
                <w:sz w:val="20"/>
                <w:szCs w:val="20"/>
                <w:lang w:val="es-MX"/>
              </w:rPr>
              <w:lastRenderedPageBreak/>
              <w:t>Las disposiciones que reglamentan el uso y funcionamiento de las áreas que integran el sistema de parques nacionales naturales.</w:t>
            </w:r>
          </w:p>
          <w:p w14:paraId="3168192A" w14:textId="77777777" w:rsidR="00827A41" w:rsidRPr="008F3AB1" w:rsidRDefault="00827A41" w:rsidP="005306CE">
            <w:pPr>
              <w:pStyle w:val="Prrafodelista"/>
              <w:widowControl/>
              <w:numPr>
                <w:ilvl w:val="0"/>
                <w:numId w:val="37"/>
              </w:numPr>
              <w:autoSpaceDE/>
              <w:autoSpaceDN/>
              <w:contextualSpacing/>
              <w:cnfStyle w:val="000000100000" w:firstRow="0" w:lastRow="0" w:firstColumn="0" w:lastColumn="0" w:oddVBand="0" w:evenVBand="0" w:oddHBand="1" w:evenHBand="0" w:firstRowFirstColumn="0" w:firstRowLastColumn="0" w:lastRowFirstColumn="0" w:lastRowLastColumn="0"/>
              <w:rPr>
                <w:sz w:val="20"/>
                <w:szCs w:val="20"/>
                <w:lang w:val="es-MX"/>
              </w:rPr>
            </w:pPr>
            <w:r w:rsidRPr="008F3AB1">
              <w:rPr>
                <w:sz w:val="20"/>
                <w:szCs w:val="20"/>
                <w:lang w:val="es-MX"/>
              </w:rPr>
              <w:t>Las regulaciones sobre conservación, preservación, uso y manejo del ambiente y de Ios recursos naturales renovables, en especial en las zonas marinas y costeras y los ecosistema estratégicos; las disposiciones producidas por la Corporación Autónoma Regional o la Autoridad Ambiental de la respectiva jurisdicción en cuanto a la reserva, alindamiento, administración, sustracción de los distritos de manejo integrado, los distritos de conservación de suelos, y las reservas forestales; la reserva, alindamiento y administración de los parques naturales de carácter regional; las normas y directrices para el manejo, de la cuencas hidrográficas expedidas por la Corporación Autónoma Regional, o la autoridad ambiental de la respectiva jurisdicción, y las directrices y Normas expedidas por las autoridades ambientales para la conservación de las áreas de especial importancia ecosistémica.</w:t>
            </w:r>
          </w:p>
          <w:p w14:paraId="019A2532" w14:textId="77777777" w:rsidR="00827A41" w:rsidRPr="008F3AB1" w:rsidRDefault="00827A41" w:rsidP="005306CE">
            <w:pPr>
              <w:numPr>
                <w:ilvl w:val="0"/>
                <w:numId w:val="2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Las políticas, directrices y regulaciones sobre prevención de amenazas y riesgos de desastres, el señalamiento y localización de las áreas de riesgo para asentamientos humanos, así como las estrategias de manejo de zonas expuestas a amenazas y riesgos naturales, y las relacionadas con la gestión del cambio climático. </w:t>
            </w:r>
          </w:p>
          <w:p w14:paraId="1191A6D7"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1BBA3803"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Nivel 2. Las áreas de especial interés para proteger el derecho humano a la alimentación de los habitantes del territorio nacional localizadas dentro de la frontera agrícola, en particular, las incluidas en las Áreas de Protección para la Producción de Alimentos declaradas por el Ministerio de Agricultura y Desarrollo Rural, de acuerdo con los criterios definidos por la Unidad de Planificación Rural Agropecuaria - UPRA, y en la zonificación de los planes de desarrollo sostenible de las Zonas de Reserva Campesina constituidas por el Consejo Directivo de la Agencia Nacional de Tierras - ANT. Lo anterior, en coordinación con el Ministerio de Ambiente y Desarrollo Sostenible, y el Ministerio de Vivienda, Ciudad y Territorio.</w:t>
            </w:r>
          </w:p>
          <w:p w14:paraId="6CAC504E"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Nivel 3. Las políticas, directrices y regulaciones sobre conservación, preservación y uso de las áreas e inmuebles consideradas como patrimonio cultural de la Nación y de los departamentos, incluyendo el histórico, artístico, </w:t>
            </w:r>
            <w:r w:rsidRPr="008F3AB1">
              <w:rPr>
                <w:rFonts w:cs="Arial"/>
                <w:sz w:val="20"/>
                <w:szCs w:val="20"/>
              </w:rPr>
              <w:lastRenderedPageBreak/>
              <w:t>arqueológico y arquitectónico, de conformidad con la legislación correspondiente.</w:t>
            </w:r>
          </w:p>
          <w:p w14:paraId="54B740C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Nivel 4. El señalamiento y localización de las infraestructuras básicas relativas a la red vial nacional y regional; fluvial, red férrea, puertos y aeropuertos; infraestructura logística especializada definida por el nivel nacional y regional para resolver intermodalidad, y sistemas de abastecimiento de agua, saneamiento y suministro de energía y gas, e internet. En este nivel también se considerarán las directrices de ordenamiento para las áreas de influencia de los referidos usos.</w:t>
            </w:r>
          </w:p>
          <w:p w14:paraId="652BEA97"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Nivel 5. Los componentes de ordenamiento territorial de los planes integrales de desarrollo metropolitano, en cuanto se refieran a hechos metropolitanos, así como las normas generales que establezcan los objetivos y criterios definidos por las áreas metropolitanas en los asuntos de ordenamiento del territorio municipal, de conformidad con lo dispuesto por la Ley 1625 de 2013 y la presente Ley.</w:t>
            </w:r>
          </w:p>
          <w:p w14:paraId="2C9FE79F"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Nivel 6. Los Proyectos Turísticos Especiales e infraestructura asociada, definidos por el Ministerio de Comercio, Industria y Turismo.</w:t>
            </w:r>
          </w:p>
          <w:p w14:paraId="57B24F55"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También define la obligatoriedad de definir suelos urbanos, de expansión, suburbanos y rurales, respetando las determinantes ambientales, definiendo los usos del suelo a fin de que los habitantes de los territorios acojan y respeten estos usos.</w:t>
            </w:r>
          </w:p>
          <w:p w14:paraId="34189AD4"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Por último, establece como parte del proceso de formulación de los instrumentos, la concertación de los asuntos ambientales con las Autoridades Ambientales que tengan jurisdicción en la respectiva entidad territorial.</w:t>
            </w:r>
          </w:p>
        </w:tc>
      </w:tr>
      <w:tr w:rsidR="00827A41" w:rsidRPr="008F3AB1" w14:paraId="54FFE697" w14:textId="77777777" w:rsidTr="00E24C10">
        <w:tc>
          <w:tcPr>
            <w:cnfStyle w:val="001000000000" w:firstRow="0" w:lastRow="0" w:firstColumn="1" w:lastColumn="0" w:oddVBand="0" w:evenVBand="0" w:oddHBand="0" w:evenHBand="0" w:firstRowFirstColumn="0" w:firstRowLastColumn="0" w:lastRowFirstColumn="0" w:lastRowLastColumn="0"/>
            <w:tcW w:w="1984" w:type="dxa"/>
          </w:tcPr>
          <w:p w14:paraId="12106544" w14:textId="77777777" w:rsidR="00827A41" w:rsidRPr="008F3AB1" w:rsidRDefault="00827A41" w:rsidP="00E24C10">
            <w:pPr>
              <w:rPr>
                <w:rFonts w:cs="Arial"/>
                <w:sz w:val="20"/>
                <w:szCs w:val="20"/>
              </w:rPr>
            </w:pPr>
            <w:r w:rsidRPr="008F3AB1">
              <w:rPr>
                <w:rFonts w:cs="Arial"/>
                <w:sz w:val="20"/>
                <w:szCs w:val="20"/>
              </w:rPr>
              <w:lastRenderedPageBreak/>
              <w:t>Determinantes ambientales</w:t>
            </w:r>
          </w:p>
        </w:tc>
        <w:tc>
          <w:tcPr>
            <w:tcW w:w="1845" w:type="dxa"/>
          </w:tcPr>
          <w:p w14:paraId="1A09A404"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7EE5FDC6"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58458A57"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7ED91DB8"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Decreto 1077 de 2015 </w:t>
            </w:r>
            <w:r w:rsidRPr="008F3AB1">
              <w:rPr>
                <w:rFonts w:cs="Arial"/>
                <w:i/>
                <w:sz w:val="20"/>
                <w:szCs w:val="20"/>
              </w:rPr>
              <w:t>"Por medio del cual se expide el Decreto Único Reglamentario del Sector Vivienda, Ciudad y Territorio."</w:t>
            </w:r>
          </w:p>
          <w:p w14:paraId="6A560E2F"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026B021C"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 </w:t>
            </w:r>
          </w:p>
        </w:tc>
        <w:tc>
          <w:tcPr>
            <w:tcW w:w="5527" w:type="dxa"/>
          </w:tcPr>
          <w:p w14:paraId="5E3CA843"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i/>
                <w:iCs/>
                <w:sz w:val="20"/>
                <w:szCs w:val="20"/>
              </w:rPr>
            </w:pPr>
            <w:r w:rsidRPr="008F3AB1">
              <w:rPr>
                <w:rFonts w:cs="Arial"/>
                <w:sz w:val="20"/>
                <w:szCs w:val="20"/>
              </w:rPr>
              <w:lastRenderedPageBreak/>
              <w:t xml:space="preserve">Se resalta la inclusión dentro de las categorías de protección del suelo rural, </w:t>
            </w:r>
            <w:r w:rsidRPr="008F3AB1">
              <w:rPr>
                <w:rFonts w:cs="Arial"/>
                <w:sz w:val="20"/>
                <w:szCs w:val="20"/>
                <w:shd w:val="clear" w:color="auto" w:fill="FFFFFF"/>
              </w:rPr>
              <w:t>las áreas que deben ser objeto de especial protección ambiental de acuerdo con la legislación vigente y las que hacen parte de la estructura ecológica principal,</w:t>
            </w:r>
            <w:r w:rsidRPr="008F3AB1">
              <w:rPr>
                <w:rFonts w:cs="Arial"/>
                <w:sz w:val="20"/>
                <w:szCs w:val="20"/>
              </w:rPr>
              <w:t xml:space="preserve"> definida como un </w:t>
            </w:r>
            <w:r w:rsidRPr="008F3AB1">
              <w:rPr>
                <w:rFonts w:cs="Arial"/>
                <w:i/>
                <w:iCs/>
                <w:sz w:val="20"/>
                <w:szCs w:val="20"/>
              </w:rPr>
              <w:t>Conjunto de elementos bióticos y abióticos que dan sustento a los procesos ecológicos esenciales del territorio, cuya finalidad principal es la preservación, conservación, restauración, uso y manejo sostenible de los recursos naturales renovables, los cuales brindan la capacidad de soporte para el desarrollo socioeconómico de las poblaciones. </w:t>
            </w:r>
          </w:p>
          <w:p w14:paraId="79C71CA3"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El artículo 2.2.2.2.1.3 del Decreto 1077 de 2015, define a detalle las categorías del protección en el suelo rural, dentro de las cuales la estructura ecológica principal constituye un suelo de protección de acuerdo con lo establecido en  el art </w:t>
            </w:r>
            <w:r w:rsidRPr="008F3AB1">
              <w:rPr>
                <w:rFonts w:cs="Arial"/>
                <w:sz w:val="20"/>
                <w:szCs w:val="20"/>
              </w:rPr>
              <w:lastRenderedPageBreak/>
              <w:t>35 de la Ley 388 de 1997. Las mencionadas categorías son las siguientes:</w:t>
            </w:r>
          </w:p>
          <w:p w14:paraId="04802B3E" w14:textId="77777777" w:rsidR="00827A41" w:rsidRPr="008F3AB1" w:rsidRDefault="00827A41" w:rsidP="005306CE">
            <w:pPr>
              <w:numPr>
                <w:ilvl w:val="0"/>
                <w:numId w:val="25"/>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Áreas de conservación y protección ambiental:</w:t>
            </w:r>
          </w:p>
          <w:p w14:paraId="4407A5EA" w14:textId="77777777" w:rsidR="00827A41" w:rsidRPr="008F3AB1" w:rsidRDefault="00827A41" w:rsidP="005306CE">
            <w:pPr>
              <w:numPr>
                <w:ilvl w:val="0"/>
                <w:numId w:val="26"/>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Las áreas del sistema nacional de áreas protegidas.</w:t>
            </w:r>
          </w:p>
          <w:p w14:paraId="7474EB47" w14:textId="77777777" w:rsidR="00827A41" w:rsidRPr="008F3AB1" w:rsidRDefault="00827A41" w:rsidP="005306CE">
            <w:pPr>
              <w:numPr>
                <w:ilvl w:val="0"/>
                <w:numId w:val="26"/>
              </w:numPr>
              <w:spacing w:after="0"/>
              <w:cnfStyle w:val="000000000000" w:firstRow="0" w:lastRow="0" w:firstColumn="0" w:lastColumn="0" w:oddVBand="0" w:evenVBand="0" w:oddHBand="0" w:evenHBand="0" w:firstRowFirstColumn="0" w:firstRowLastColumn="0" w:lastRowFirstColumn="0" w:lastRowLastColumn="0"/>
              <w:rPr>
                <w:rFonts w:cs="Arial"/>
                <w:sz w:val="20"/>
                <w:szCs w:val="20"/>
                <w:lang w:val="pt-PT"/>
              </w:rPr>
            </w:pPr>
            <w:r w:rsidRPr="008F3AB1">
              <w:rPr>
                <w:rFonts w:cs="Arial"/>
                <w:sz w:val="20"/>
                <w:szCs w:val="20"/>
                <w:lang w:val="pt-PT"/>
              </w:rPr>
              <w:t>Las áreas de reserva forestal.</w:t>
            </w:r>
          </w:p>
          <w:p w14:paraId="44730ADD" w14:textId="77777777" w:rsidR="00827A41" w:rsidRPr="008F3AB1" w:rsidRDefault="00827A41" w:rsidP="005306CE">
            <w:pPr>
              <w:numPr>
                <w:ilvl w:val="0"/>
                <w:numId w:val="26"/>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Las áreas de manejo especial.</w:t>
            </w:r>
          </w:p>
          <w:p w14:paraId="0C7494BC" w14:textId="77777777" w:rsidR="00827A41" w:rsidRPr="008F3AB1" w:rsidRDefault="00827A41" w:rsidP="005306CE">
            <w:pPr>
              <w:numPr>
                <w:ilvl w:val="0"/>
                <w:numId w:val="26"/>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Las áreas de especial importancia ecosistémica.</w:t>
            </w:r>
          </w:p>
          <w:p w14:paraId="6F7A989B" w14:textId="77777777" w:rsidR="00827A41" w:rsidRPr="008F3AB1" w:rsidRDefault="00827A41" w:rsidP="005306CE">
            <w:pPr>
              <w:numPr>
                <w:ilvl w:val="0"/>
                <w:numId w:val="27"/>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Áreas para la producción agrícola y ganadera y de explotación de recursos naturales.</w:t>
            </w:r>
          </w:p>
          <w:p w14:paraId="4D3D67DF" w14:textId="77777777" w:rsidR="00827A41" w:rsidRPr="008F3AB1" w:rsidRDefault="00827A41" w:rsidP="005306CE">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Áreas e inmuebles considerados como patrimonio cultural.</w:t>
            </w:r>
          </w:p>
          <w:p w14:paraId="47C6AFB3" w14:textId="77777777" w:rsidR="00827A41" w:rsidRPr="008F3AB1" w:rsidRDefault="00827A41" w:rsidP="005306CE">
            <w:pPr>
              <w:numPr>
                <w:ilvl w:val="0"/>
                <w:numId w:val="29"/>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Áreas del sistema de servicios públicos domiciliario.</w:t>
            </w:r>
          </w:p>
          <w:p w14:paraId="2C4F5021" w14:textId="77777777" w:rsidR="00827A41" w:rsidRPr="008F3AB1" w:rsidRDefault="00827A41" w:rsidP="005306CE">
            <w:pPr>
              <w:numPr>
                <w:ilvl w:val="0"/>
                <w:numId w:val="30"/>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Áreas de amenaza y riesgo.</w:t>
            </w:r>
          </w:p>
          <w:p w14:paraId="79C1BD41"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w:t>
            </w:r>
          </w:p>
          <w:p w14:paraId="18865A75"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También define los instrumentos de planificación de suelos rurales, que son las Unidades de Planificación Rural, los cuales deben incluir:</w:t>
            </w:r>
          </w:p>
          <w:p w14:paraId="7548E715" w14:textId="77777777" w:rsidR="00827A41" w:rsidRPr="008F3AB1" w:rsidRDefault="00827A41" w:rsidP="005306CE">
            <w:pPr>
              <w:numPr>
                <w:ilvl w:val="0"/>
                <w:numId w:val="31"/>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Normas para manejo y conservación de áreas que hagan parte de las categorías de protección.</w:t>
            </w:r>
          </w:p>
          <w:p w14:paraId="08D613C2" w14:textId="77777777" w:rsidR="00827A41" w:rsidRPr="008F3AB1" w:rsidRDefault="00827A41" w:rsidP="005306CE">
            <w:pPr>
              <w:numPr>
                <w:ilvl w:val="0"/>
                <w:numId w:val="31"/>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Normas sobre uso y manejo de áreas destinadas a la producción agrícola, ganadera, forestal, de explotación de los recursos naturales, y demás actividades análogas.</w:t>
            </w:r>
          </w:p>
          <w:p w14:paraId="17C0A829" w14:textId="77777777" w:rsidR="00827A41" w:rsidRPr="008F3AB1" w:rsidRDefault="00827A41" w:rsidP="005306CE">
            <w:pPr>
              <w:numPr>
                <w:ilvl w:val="0"/>
                <w:numId w:val="31"/>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Las normas para impedir la urbanización de las áreas rurales que limiten con suelo urbano o de expansión.</w:t>
            </w:r>
          </w:p>
        </w:tc>
      </w:tr>
      <w:tr w:rsidR="00827A41" w:rsidRPr="008F3AB1" w14:paraId="7A305CEA"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783E0372" w14:textId="77777777" w:rsidR="00827A41" w:rsidRPr="008F3AB1" w:rsidRDefault="00827A41" w:rsidP="00E24C10">
            <w:pPr>
              <w:rPr>
                <w:rFonts w:cs="Arial"/>
                <w:sz w:val="20"/>
                <w:szCs w:val="20"/>
              </w:rPr>
            </w:pPr>
            <w:r w:rsidRPr="008F3AB1">
              <w:rPr>
                <w:rFonts w:cs="Arial"/>
                <w:sz w:val="20"/>
                <w:szCs w:val="20"/>
              </w:rPr>
              <w:lastRenderedPageBreak/>
              <w:t>Delitos ambientales</w:t>
            </w:r>
          </w:p>
        </w:tc>
        <w:tc>
          <w:tcPr>
            <w:tcW w:w="1845" w:type="dxa"/>
          </w:tcPr>
          <w:p w14:paraId="7E172F63"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5A81D64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420688F5"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Ley 2111 de 2021 </w:t>
            </w:r>
          </w:p>
          <w:p w14:paraId="0FC10210"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w:t>
            </w:r>
            <w:r w:rsidRPr="008F3AB1">
              <w:rPr>
                <w:rFonts w:cs="Arial"/>
                <w:i/>
                <w:sz w:val="20"/>
                <w:szCs w:val="20"/>
              </w:rPr>
              <w:t>Por medio del cual se sustituye el título XI "de los delitos contra los recursos naturales y el medio ambiente" de la Ley 599 de 2000, se modifica la Ley 906 de 2004 y se dictan otras disposiciones</w:t>
            </w:r>
            <w:r w:rsidRPr="008F3AB1">
              <w:rPr>
                <w:rFonts w:cs="Arial"/>
                <w:sz w:val="20"/>
                <w:szCs w:val="20"/>
              </w:rPr>
              <w:t xml:space="preserve">". </w:t>
            </w:r>
            <w:sdt>
              <w:sdtPr>
                <w:rPr>
                  <w:rFonts w:cs="Arial"/>
                  <w:sz w:val="20"/>
                  <w:szCs w:val="20"/>
                </w:rPr>
                <w:id w:val="-1997327087"/>
                <w:citation/>
              </w:sdtPr>
              <w:sdtContent>
                <w:r w:rsidRPr="008F3AB1">
                  <w:rPr>
                    <w:rFonts w:cs="Arial"/>
                    <w:sz w:val="20"/>
                    <w:szCs w:val="20"/>
                  </w:rPr>
                  <w:fldChar w:fldCharType="begin"/>
                </w:r>
                <w:r w:rsidRPr="008F3AB1">
                  <w:rPr>
                    <w:rFonts w:cs="Arial"/>
                    <w:sz w:val="20"/>
                    <w:szCs w:val="20"/>
                  </w:rPr>
                  <w:instrText xml:space="preserve">CITATION CON21 \l 9226 </w:instrText>
                </w:r>
                <w:r w:rsidRPr="008F3AB1">
                  <w:rPr>
                    <w:rFonts w:cs="Arial"/>
                    <w:sz w:val="20"/>
                    <w:szCs w:val="20"/>
                  </w:rPr>
                  <w:fldChar w:fldCharType="separate"/>
                </w:r>
                <w:r w:rsidRPr="008F3AB1">
                  <w:rPr>
                    <w:rFonts w:cs="Arial"/>
                    <w:noProof/>
                    <w:sz w:val="20"/>
                    <w:szCs w:val="20"/>
                  </w:rPr>
                  <w:t>(Congreso de la República de Colombia, 2021)</w:t>
                </w:r>
                <w:r w:rsidRPr="008F3AB1">
                  <w:rPr>
                    <w:rFonts w:cs="Arial"/>
                    <w:sz w:val="20"/>
                    <w:szCs w:val="20"/>
                  </w:rPr>
                  <w:fldChar w:fldCharType="end"/>
                </w:r>
              </w:sdtContent>
            </w:sdt>
          </w:p>
          <w:p w14:paraId="7A78D83B"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tcPr>
          <w:p w14:paraId="370D60C3" w14:textId="6FD36106"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Esta Ley cataloga como delitos ambientales las siguientes acciones: </w:t>
            </w:r>
          </w:p>
          <w:p w14:paraId="1745D96E" w14:textId="77777777" w:rsidR="00827A41" w:rsidRPr="008F3AB1" w:rsidRDefault="00827A41" w:rsidP="005306CE">
            <w:pPr>
              <w:numPr>
                <w:ilvl w:val="0"/>
                <w:numId w:val="3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sz w:val="20"/>
                <w:szCs w:val="20"/>
              </w:rPr>
              <w:t>Aprovechamiento ilícito de los recursos naturales renovables</w:t>
            </w:r>
            <w:r w:rsidRPr="008F3AB1">
              <w:rPr>
                <w:rFonts w:cs="Arial"/>
                <w:sz w:val="20"/>
                <w:szCs w:val="20"/>
              </w:rPr>
              <w:t xml:space="preserve"> (Artículo 328.): El incumplimiento de la normatividad existente para apropiar, acceder, capturar, mantener, introducir, extraer, explotar, aprovechar, exportar, transportar, comercializar, explorar, traficar o de cualquier otro modo, recursos de la biodiversidad colombiana, incurrirá en prisión y multas.</w:t>
            </w:r>
          </w:p>
          <w:p w14:paraId="6DB31A77" w14:textId="77777777" w:rsidR="00827A41" w:rsidRPr="008F3AB1" w:rsidRDefault="00827A41" w:rsidP="00E24C10">
            <w:pPr>
              <w:ind w:left="720"/>
              <w:cnfStyle w:val="000000100000" w:firstRow="0" w:lastRow="0" w:firstColumn="0" w:lastColumn="0" w:oddVBand="0" w:evenVBand="0" w:oddHBand="1" w:evenHBand="0" w:firstRowFirstColumn="0" w:firstRowLastColumn="0" w:lastRowFirstColumn="0" w:lastRowLastColumn="0"/>
              <w:rPr>
                <w:rFonts w:cs="Arial"/>
                <w:sz w:val="20"/>
                <w:szCs w:val="20"/>
              </w:rPr>
            </w:pPr>
          </w:p>
          <w:p w14:paraId="0B0B2857" w14:textId="77777777" w:rsidR="00827A41" w:rsidRPr="008F3AB1" w:rsidRDefault="00827A41" w:rsidP="005306CE">
            <w:pPr>
              <w:numPr>
                <w:ilvl w:val="0"/>
                <w:numId w:val="3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sz w:val="20"/>
                <w:szCs w:val="20"/>
              </w:rPr>
              <w:t xml:space="preserve">Deforestación </w:t>
            </w:r>
            <w:r w:rsidRPr="008F3AB1">
              <w:rPr>
                <w:rFonts w:cs="Arial"/>
                <w:sz w:val="20"/>
                <w:szCs w:val="20"/>
              </w:rPr>
              <w:t>(Articulo 330) Quien sin permiso o incumplimiento de la normatividad existente tale, queme, corte, arranque o destruya áreas iguales o superiores a una hectárea continua o discontinua de bosque natural, incurrirá en prisión y multas. La pena se aumentará a la mitad:</w:t>
            </w:r>
          </w:p>
          <w:p w14:paraId="461754AB"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1. Cuando la conducta se realice para acaparamiento de tierras, para cultivos de uso ilícito o para mejora o construcción de infraestructura ilegal.</w:t>
            </w:r>
          </w:p>
          <w:p w14:paraId="0817ED6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lastRenderedPageBreak/>
              <w:t>2. Cuando la conducta afecte más de 30 hectáreas contiguas de extensión o cuando en un periodo de hasta seis meses se acumule la misma superficie deforestada.</w:t>
            </w:r>
          </w:p>
          <w:p w14:paraId="7CEA272F" w14:textId="77777777" w:rsidR="00827A41" w:rsidRPr="008F3AB1" w:rsidRDefault="00827A41" w:rsidP="005306CE">
            <w:pPr>
              <w:numPr>
                <w:ilvl w:val="0"/>
                <w:numId w:val="3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sz w:val="20"/>
                <w:szCs w:val="20"/>
              </w:rPr>
              <w:t xml:space="preserve"> Promoción y financiación de la Deforestación </w:t>
            </w:r>
            <w:r w:rsidRPr="008F3AB1">
              <w:rPr>
                <w:rFonts w:cs="Arial"/>
                <w:sz w:val="20"/>
                <w:szCs w:val="20"/>
              </w:rPr>
              <w:t>(Artículo 330A). El que promueva, financie, dirija, facilite, suministre medios, aproveche económicamente u obtenga cualquier otro beneficio de la tala, quema, corte, arranque o destrucción de áreas iguales o superiores a una hectárea continua o discontinua de bosque natural, incurrirá en prisión y multas. La pena se aumentará a la mitad cuando:</w:t>
            </w:r>
          </w:p>
          <w:p w14:paraId="3DEE249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1. Cuando la conducta se realice para acaparamiento de tierras, para cultivos de uso ilícito, exploración y explotación ilícita de minerales o para mejora o construcción de infraestructura ilegal. </w:t>
            </w:r>
          </w:p>
          <w:p w14:paraId="73FEB20F"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2. Cuando la conducta afecte más de 30 hectáreas contiguas de extensión o cuando en un periodo de hasta seis meses se acumule la misma superficie deforestada. </w:t>
            </w:r>
          </w:p>
          <w:p w14:paraId="0D01D74C"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w:t>
            </w:r>
          </w:p>
          <w:p w14:paraId="1AAD3D2D" w14:textId="77777777" w:rsidR="00827A41" w:rsidRPr="008F3AB1" w:rsidRDefault="00827A41" w:rsidP="005306CE">
            <w:pPr>
              <w:numPr>
                <w:ilvl w:val="0"/>
                <w:numId w:val="3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sz w:val="20"/>
                <w:szCs w:val="20"/>
              </w:rPr>
              <w:t>Daños en los recursos naturales y ecocidio</w:t>
            </w:r>
            <w:r w:rsidRPr="008F3AB1">
              <w:rPr>
                <w:rFonts w:cs="Arial"/>
                <w:sz w:val="20"/>
                <w:szCs w:val="20"/>
              </w:rPr>
              <w:t xml:space="preserve"> (Artículo 333). El que con incumplimiento de la normatividad existente destruya, inutilice, haga desaparecer o cause un impacto ambiental grave o de cualquier otro modo dañe los recursos naturales, incurrirá en prisión y multa.</w:t>
            </w:r>
          </w:p>
          <w:p w14:paraId="0310B487"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32EA55F7" w14:textId="77777777" w:rsidR="00827A41" w:rsidRPr="008F3AB1" w:rsidRDefault="00827A41" w:rsidP="005306CE">
            <w:pPr>
              <w:numPr>
                <w:ilvl w:val="0"/>
                <w:numId w:val="3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sz w:val="20"/>
                <w:szCs w:val="20"/>
              </w:rPr>
              <w:t>Contaminación ambiental</w:t>
            </w:r>
            <w:r w:rsidRPr="008F3AB1">
              <w:rPr>
                <w:rFonts w:cs="Arial"/>
                <w:sz w:val="20"/>
                <w:szCs w:val="20"/>
              </w:rPr>
              <w:t xml:space="preserve"> (Artículo 334). El que con incumplimiento de la normatividad existente contamine, provoque o realice directa o indirectamente emisiones, vertimientos, radiaciones, ruidos, depósitos, o disposiciones al aire, la atmósfera o demás componentes del espacio aéreo, el suelo, el subsuelo, las aguas superficiales, marítimas o subterráneas o demás recursos naturales en tal forma que contamine o genere un efecto nocivo en el ambiente, incurrirá en prisión y multas. La pena se aumentará de una tercera parte a la mitad cuando en la comisión de cualquiera de los hechos descritos concurra alguna de las circunstancias siguientes:</w:t>
            </w:r>
          </w:p>
          <w:p w14:paraId="62F0C40A" w14:textId="77777777" w:rsidR="00827A41" w:rsidRPr="008F3AB1" w:rsidRDefault="00827A41" w:rsidP="005306CE">
            <w:pPr>
              <w:numPr>
                <w:ilvl w:val="0"/>
                <w:numId w:val="13"/>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Cuando la conducta se realice con fines terroristas.</w:t>
            </w:r>
          </w:p>
          <w:p w14:paraId="499DA646" w14:textId="77777777" w:rsidR="00827A41" w:rsidRPr="008F3AB1" w:rsidRDefault="00827A41" w:rsidP="005306CE">
            <w:pPr>
              <w:numPr>
                <w:ilvl w:val="0"/>
                <w:numId w:val="1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Cuando la emisión o el vertimiento supere el doble de lo permitido por la normatividad existente o haya infringido más de dos parámetros.</w:t>
            </w:r>
          </w:p>
          <w:p w14:paraId="4000A1D3" w14:textId="77777777" w:rsidR="00827A41" w:rsidRPr="008F3AB1" w:rsidRDefault="00827A41" w:rsidP="005306CE">
            <w:pPr>
              <w:numPr>
                <w:ilvl w:val="0"/>
                <w:numId w:val="15"/>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Cuando la persona natural o jurídica realice clandestina o engañosamente los vertimientos, depósitos, emisiones o disposiciones.</w:t>
            </w:r>
          </w:p>
          <w:p w14:paraId="734CDFAF" w14:textId="77777777" w:rsidR="00827A41" w:rsidRPr="008F3AB1" w:rsidRDefault="00827A41" w:rsidP="005306CE">
            <w:pPr>
              <w:numPr>
                <w:ilvl w:val="0"/>
                <w:numId w:val="16"/>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Que se hayan desobedecido las órdenes expresas de la autoridad administrativa o judicial competente </w:t>
            </w:r>
            <w:r w:rsidRPr="008F3AB1">
              <w:rPr>
                <w:rFonts w:cs="Arial"/>
                <w:sz w:val="20"/>
                <w:szCs w:val="20"/>
              </w:rPr>
              <w:lastRenderedPageBreak/>
              <w:t>de corrección o suspensión de las actividades tipificadas en el presente Artículo.</w:t>
            </w:r>
          </w:p>
          <w:p w14:paraId="672E3A14" w14:textId="77777777" w:rsidR="00827A41" w:rsidRPr="008F3AB1" w:rsidRDefault="00827A41" w:rsidP="005306CE">
            <w:pPr>
              <w:numPr>
                <w:ilvl w:val="0"/>
                <w:numId w:val="17"/>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Que se haya ocultado o aportado información engañosa o falsa sobre los aspectos ambientales de la misma o se haya obstaculizado la actividad de control y vigilancia de la autoridad competente.</w:t>
            </w:r>
          </w:p>
          <w:p w14:paraId="7376F4B1" w14:textId="77777777" w:rsidR="00827A41" w:rsidRPr="008F3AB1" w:rsidRDefault="00827A41" w:rsidP="005306CE">
            <w:pPr>
              <w:numPr>
                <w:ilvl w:val="0"/>
                <w:numId w:val="18"/>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Cuando la contaminación sea producto del almacenamiento, transporte, vertimiento o disposición inadecuada de residuo peligroso.</w:t>
            </w:r>
          </w:p>
          <w:p w14:paraId="35962BED" w14:textId="77777777" w:rsidR="00827A41" w:rsidRPr="008F3AB1" w:rsidRDefault="00827A41" w:rsidP="005306CE">
            <w:pPr>
              <w:numPr>
                <w:ilvl w:val="0"/>
                <w:numId w:val="3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sz w:val="20"/>
                <w:szCs w:val="20"/>
              </w:rPr>
              <w:t>Invasión de áreas de especial importancia ecológica.</w:t>
            </w:r>
            <w:r w:rsidRPr="008F3AB1">
              <w:rPr>
                <w:rFonts w:cs="Arial"/>
                <w:sz w:val="20"/>
                <w:szCs w:val="20"/>
              </w:rPr>
              <w:t xml:space="preserve"> (Artículo 336). El que invada, permanezca así sea de manera temporal o realice uso indebido de los recursos naturales en área de reserva forestal, ecosistemas de importancia ecológica, playas, terrenos de bajamar, resguardos o reservas indígenas, terrenos de propiedad colectiva de las comunidades negras, parque regional, parque nacional natural, área o ecosistema de interés estratégico, área protegida, incurrirá en prisión y multa. La pena señalada se aumentará de una tercera parte a la mitad cuando como consecuencia de la invasión, se afecten gravemente los componentes naturales que sirvieron de base para su declaratoria, o de las condiciones naturales del área o territorio correspondiente. </w:t>
            </w:r>
          </w:p>
          <w:p w14:paraId="5D20063A"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w:t>
            </w:r>
          </w:p>
          <w:p w14:paraId="309BC4D3" w14:textId="77777777" w:rsidR="00827A41" w:rsidRPr="008F3AB1" w:rsidRDefault="00827A41" w:rsidP="005306CE">
            <w:pPr>
              <w:numPr>
                <w:ilvl w:val="0"/>
                <w:numId w:val="3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sz w:val="20"/>
                <w:szCs w:val="20"/>
              </w:rPr>
              <w:t>Financiación de invasión a áreas de especial importancia ecológica</w:t>
            </w:r>
            <w:r w:rsidRPr="008F3AB1">
              <w:rPr>
                <w:rFonts w:cs="Arial"/>
                <w:sz w:val="20"/>
                <w:szCs w:val="20"/>
              </w:rPr>
              <w:t xml:space="preserve"> (Artículo 336 A). El que promueva, financie, dirija, facilite, suministre medios, se aproveche económicamente u obtenga cualquier otro beneficio de las conductas descritas incurrirá en prisión y multa. La pena señalada se aumentará de una tercera parte a la mitad cuando como consecuencia de la invasión, se afecten gravemente los componentes naturales que sirvieron de base para su declaratoria, o de las condiciones naturales del área o territorio correspondiente. </w:t>
            </w:r>
          </w:p>
          <w:p w14:paraId="62DA9FC0"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782F856D"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Adicionalmente la Ley define circunstancias de agravación punitiva, indicando que las penas pueden aumentar en una tercera parte a la mitad, cuando:</w:t>
            </w:r>
          </w:p>
          <w:p w14:paraId="521EB064" w14:textId="77777777" w:rsidR="00827A41" w:rsidRPr="008F3AB1" w:rsidRDefault="00827A41" w:rsidP="005306CE">
            <w:pPr>
              <w:numPr>
                <w:ilvl w:val="0"/>
                <w:numId w:val="1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Cuando la conducta se cometa en ecosistemas naturales que hagan parte del SINAP, ecosistemas estratégicos, o en territorios de comunidades étnicas. </w:t>
            </w:r>
          </w:p>
          <w:p w14:paraId="7E61C7AA" w14:textId="77777777" w:rsidR="00827A41" w:rsidRPr="008F3AB1" w:rsidRDefault="00827A41" w:rsidP="005306CE">
            <w:pPr>
              <w:numPr>
                <w:ilvl w:val="0"/>
                <w:numId w:val="1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Cuando la conducta se cometa contra especies silvestres amenazadas de la diversidad biológica colombiana o de especies vedadas, prohibidas, en período de reproducción o crecimiento, de especial </w:t>
            </w:r>
            <w:r w:rsidRPr="008F3AB1">
              <w:rPr>
                <w:rFonts w:cs="Arial"/>
                <w:sz w:val="20"/>
                <w:szCs w:val="20"/>
              </w:rPr>
              <w:lastRenderedPageBreak/>
              <w:t xml:space="preserve">importancia ecológica, raras o endémicas del territorio colombiano. </w:t>
            </w:r>
          </w:p>
          <w:p w14:paraId="0835AEB6" w14:textId="77777777" w:rsidR="00827A41" w:rsidRPr="008F3AB1" w:rsidRDefault="00827A41" w:rsidP="005306CE">
            <w:pPr>
              <w:numPr>
                <w:ilvl w:val="0"/>
                <w:numId w:val="20"/>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Cuando con la conducta se altere el suelo, el subsuelo, los recursos hidrobiológicos, se desvíen los cuerpos de agua o se afecten ecosistemas marinos, manglares, pastos marinos y corales. </w:t>
            </w:r>
          </w:p>
          <w:p w14:paraId="0E7C299A" w14:textId="77777777" w:rsidR="00827A41" w:rsidRPr="008F3AB1" w:rsidRDefault="00827A41" w:rsidP="005306CE">
            <w:pPr>
              <w:numPr>
                <w:ilvl w:val="0"/>
                <w:numId w:val="21"/>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Cuando la conducta se cometiere por la acción u omisión de quienes ejercen funciones de seguimiento, control y vigilancia o personas que ejerzan funciones públicas. </w:t>
            </w:r>
          </w:p>
          <w:p w14:paraId="4C54B63C" w14:textId="77777777" w:rsidR="00827A41" w:rsidRPr="008F3AB1" w:rsidRDefault="00827A41" w:rsidP="005306CE">
            <w:pPr>
              <w:numPr>
                <w:ilvl w:val="0"/>
                <w:numId w:val="22"/>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Cuando la conducta se cometa mediante el uso o manipulación de herramientas tecnológicas. </w:t>
            </w:r>
          </w:p>
          <w:p w14:paraId="68E00BF6" w14:textId="77777777" w:rsidR="00827A41" w:rsidRPr="008F3AB1" w:rsidRDefault="00827A41" w:rsidP="005306CE">
            <w:pPr>
              <w:numPr>
                <w:ilvl w:val="0"/>
                <w:numId w:val="23"/>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Cuando con la conducta se ponga en peligro la salud humana. </w:t>
            </w:r>
          </w:p>
          <w:p w14:paraId="7637D95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579A0445"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sz w:val="20"/>
                <w:szCs w:val="20"/>
              </w:rPr>
              <w:t>Introducir al suelo o al agua sustancias prohibidas</w:t>
            </w:r>
            <w:r w:rsidRPr="008F3AB1">
              <w:rPr>
                <w:rFonts w:cs="Arial"/>
                <w:sz w:val="20"/>
                <w:szCs w:val="20"/>
              </w:rPr>
              <w:t xml:space="preserve"> o se realice mediante el uso de sustancias tóxicas, peligrosas, venenos, inflamables, combustibles, explosivas, radioactivas, el uso de explosivos, maquinaria pesada o medios mecanizados, entendidos estos últimos como todo tipo de equipos o herramientas mecanizados utilizados para el arranque, la extracción o el beneficio de minerales o la distribución ilegal de combustibles.</w:t>
            </w:r>
          </w:p>
          <w:p w14:paraId="601E019A"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Todos estos aspectos son fundamentales tenerlos en cuenta en la producción de aguacate, para evitar deforestación, contaminación por vertimientos y uso de los recursos naturales sin los debidos permisos.</w:t>
            </w:r>
          </w:p>
        </w:tc>
      </w:tr>
      <w:tr w:rsidR="00827A41" w:rsidRPr="008F3AB1" w14:paraId="3369BB9D" w14:textId="77777777" w:rsidTr="00E24C10">
        <w:tc>
          <w:tcPr>
            <w:cnfStyle w:val="001000000000" w:firstRow="0" w:lastRow="0" w:firstColumn="1" w:lastColumn="0" w:oddVBand="0" w:evenVBand="0" w:oddHBand="0" w:evenHBand="0" w:firstRowFirstColumn="0" w:firstRowLastColumn="0" w:lastRowFirstColumn="0" w:lastRowLastColumn="0"/>
            <w:tcW w:w="1984" w:type="dxa"/>
          </w:tcPr>
          <w:p w14:paraId="2C697365" w14:textId="77777777" w:rsidR="00827A41" w:rsidRPr="008F3AB1" w:rsidRDefault="00827A41" w:rsidP="00E24C10">
            <w:pPr>
              <w:rPr>
                <w:rFonts w:cs="Arial"/>
                <w:sz w:val="20"/>
                <w:szCs w:val="20"/>
              </w:rPr>
            </w:pPr>
            <w:r w:rsidRPr="008F3AB1">
              <w:rPr>
                <w:rFonts w:cs="Arial"/>
                <w:sz w:val="20"/>
                <w:szCs w:val="20"/>
              </w:rPr>
              <w:lastRenderedPageBreak/>
              <w:t>Trámites para los procedimientos sancionatorios ambientales</w:t>
            </w:r>
          </w:p>
        </w:tc>
        <w:tc>
          <w:tcPr>
            <w:tcW w:w="1845" w:type="dxa"/>
          </w:tcPr>
          <w:p w14:paraId="41460C72"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Ley 1333 de 2009 </w:t>
            </w:r>
          </w:p>
          <w:p w14:paraId="37584B41"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i/>
                <w:sz w:val="20"/>
                <w:szCs w:val="20"/>
              </w:rPr>
            </w:pPr>
            <w:r w:rsidRPr="008F3AB1">
              <w:rPr>
                <w:rFonts w:cs="Arial"/>
                <w:i/>
              </w:rPr>
              <w:t xml:space="preserve"> </w:t>
            </w:r>
            <w:r w:rsidRPr="008F3AB1">
              <w:rPr>
                <w:rFonts w:cs="Arial"/>
                <w:i/>
                <w:sz w:val="20"/>
                <w:szCs w:val="20"/>
              </w:rPr>
              <w:t>Por la cual se establece el procedimiento sancionatorio ambiental y se dictan otras disposiciones</w:t>
            </w:r>
          </w:p>
          <w:p w14:paraId="514BCE49"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i/>
                <w:sz w:val="20"/>
                <w:szCs w:val="20"/>
              </w:rPr>
            </w:pPr>
          </w:p>
          <w:p w14:paraId="64359FE8"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Ley 2387 de 2024</w:t>
            </w:r>
          </w:p>
          <w:p w14:paraId="188B5C42" w14:textId="0D16B1F2" w:rsidR="00827A41" w:rsidRPr="008F3AB1" w:rsidRDefault="00827A41" w:rsidP="008F3AB1">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i/>
                <w:sz w:val="20"/>
                <w:szCs w:val="20"/>
              </w:rPr>
              <w:t xml:space="preserve">“Por medio del cual se modifica el procedimiento sancionatorio ambiental, ley 1333 de 2009, con el propósito de otorgar herramientas efectivas para </w:t>
            </w:r>
            <w:r w:rsidRPr="008F3AB1">
              <w:rPr>
                <w:rFonts w:cs="Arial"/>
                <w:i/>
                <w:sz w:val="20"/>
                <w:szCs w:val="20"/>
              </w:rPr>
              <w:lastRenderedPageBreak/>
              <w:t>prevenir y sancionar a los infractores y se dictan otras disposiciones</w:t>
            </w:r>
            <w:r w:rsidRPr="008F3AB1">
              <w:rPr>
                <w:rFonts w:cs="Arial"/>
                <w:sz w:val="20"/>
                <w:szCs w:val="20"/>
              </w:rPr>
              <w:t>"</w:t>
            </w:r>
          </w:p>
        </w:tc>
        <w:tc>
          <w:tcPr>
            <w:tcW w:w="5527" w:type="dxa"/>
          </w:tcPr>
          <w:p w14:paraId="355F118A"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La Ley define las competencias y los trámites para los procedimientos sancionatorios ambientales, asignando la titularidad del proceso a las autoridades ambientales, pero además a la policía y la procuraduría. </w:t>
            </w:r>
          </w:p>
          <w:p w14:paraId="1B30B280"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363CAA66"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Define las infracciones ambientales como toda acción u omisión que constituya violación de las normas contenidas en el Código de Recursos Naturales Renovables, Decreto-Ley 2811 de 1974, en la Ley 99 de 1993, en la Ley 165 de 1994 y en las demás disposiciones ambientales vigentes </w:t>
            </w:r>
          </w:p>
          <w:p w14:paraId="5061D2FC"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53E7F5C5"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Incluye también como infracción ambiental la comisión de un daño al medio ambiente, con las mismas condiciones que para configurar la responsabilidad civil extracontractual establece el Código Civil y la legislación complementaria, a saber: El daño, el hecho generador con culpa o dolo y el vínculo causal entre los dos. </w:t>
            </w:r>
          </w:p>
          <w:p w14:paraId="04CC79CF"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w:t>
            </w:r>
          </w:p>
        </w:tc>
      </w:tr>
      <w:tr w:rsidR="00827A41" w:rsidRPr="008F3AB1" w14:paraId="39C9AB5D"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7A4F3F76" w14:textId="77777777" w:rsidR="00827A41" w:rsidRPr="008F3AB1" w:rsidRDefault="00827A41" w:rsidP="00E24C10">
            <w:pPr>
              <w:rPr>
                <w:rFonts w:cs="Arial"/>
                <w:sz w:val="20"/>
                <w:szCs w:val="20"/>
              </w:rPr>
            </w:pPr>
            <w:r w:rsidRPr="008F3AB1">
              <w:rPr>
                <w:rFonts w:cs="Arial"/>
                <w:sz w:val="20"/>
                <w:szCs w:val="20"/>
              </w:rPr>
              <w:lastRenderedPageBreak/>
              <w:t>Producción sostenible</w:t>
            </w:r>
          </w:p>
        </w:tc>
        <w:tc>
          <w:tcPr>
            <w:tcW w:w="1845" w:type="dxa"/>
            <w:hideMark/>
          </w:tcPr>
          <w:p w14:paraId="4D42925E"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0DF60DC6"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Política de Producción y Consumo Sostenible. 2010 </w:t>
            </w:r>
          </w:p>
          <w:p w14:paraId="337B0E71" w14:textId="77777777" w:rsidR="00827A41" w:rsidRPr="008F3AB1" w:rsidRDefault="00CD7AEB"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sdt>
              <w:sdtPr>
                <w:rPr>
                  <w:rFonts w:cs="Arial"/>
                  <w:sz w:val="20"/>
                  <w:szCs w:val="20"/>
                </w:rPr>
                <w:id w:val="-1367445208"/>
                <w:citation/>
              </w:sdtPr>
              <w:sdtContent>
                <w:r w:rsidR="00827A41" w:rsidRPr="008F3AB1">
                  <w:rPr>
                    <w:rFonts w:cs="Arial"/>
                    <w:sz w:val="20"/>
                    <w:szCs w:val="20"/>
                  </w:rPr>
                  <w:fldChar w:fldCharType="begin"/>
                </w:r>
                <w:r w:rsidR="00827A41" w:rsidRPr="008F3AB1">
                  <w:rPr>
                    <w:rFonts w:cs="Arial"/>
                    <w:sz w:val="20"/>
                    <w:szCs w:val="20"/>
                  </w:rPr>
                  <w:instrText xml:space="preserve">CITATION MAV10 \l 9226 </w:instrText>
                </w:r>
                <w:r w:rsidR="00827A41" w:rsidRPr="008F3AB1">
                  <w:rPr>
                    <w:rFonts w:cs="Arial"/>
                    <w:sz w:val="20"/>
                    <w:szCs w:val="20"/>
                  </w:rPr>
                  <w:fldChar w:fldCharType="separate"/>
                </w:r>
                <w:r w:rsidR="00827A41" w:rsidRPr="008F3AB1">
                  <w:rPr>
                    <w:rFonts w:cs="Arial"/>
                    <w:noProof/>
                    <w:sz w:val="20"/>
                    <w:szCs w:val="20"/>
                  </w:rPr>
                  <w:t>(Colombia. Ministerio de Ambiente, Vivienda y Desarrollo Territorial, 2010)</w:t>
                </w:r>
                <w:r w:rsidR="00827A41" w:rsidRPr="008F3AB1">
                  <w:rPr>
                    <w:rFonts w:cs="Arial"/>
                    <w:sz w:val="20"/>
                    <w:szCs w:val="20"/>
                  </w:rPr>
                  <w:fldChar w:fldCharType="end"/>
                </w:r>
              </w:sdtContent>
            </w:sdt>
          </w:p>
        </w:tc>
        <w:tc>
          <w:tcPr>
            <w:tcW w:w="5527" w:type="dxa"/>
            <w:hideMark/>
          </w:tcPr>
          <w:p w14:paraId="12E5D0A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La política tiene como objetivo </w:t>
            </w:r>
            <w:r w:rsidRPr="008F3AB1">
              <w:rPr>
                <w:rFonts w:cs="Arial"/>
                <w:i/>
                <w:sz w:val="20"/>
                <w:szCs w:val="20"/>
              </w:rPr>
              <w:t>Orientar el cambio de los patrones de producción y consumo de la sociedad colombiana hacia la sostenibilidad ambiental, contribuyendo a la competitividad de las empresas y al bienestar de la población</w:t>
            </w:r>
            <w:r w:rsidRPr="008F3AB1">
              <w:rPr>
                <w:rFonts w:cs="Arial"/>
                <w:sz w:val="20"/>
                <w:szCs w:val="20"/>
              </w:rPr>
              <w:t>. </w:t>
            </w:r>
          </w:p>
          <w:p w14:paraId="49B84AAA"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La política define sectores estratégicos, identificando como los asociados a la producción de aguacate los siguientes:</w:t>
            </w:r>
          </w:p>
          <w:p w14:paraId="3E152F87"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w:t>
            </w:r>
          </w:p>
          <w:p w14:paraId="4DCD2ABB" w14:textId="77777777" w:rsidR="00827A41" w:rsidRPr="008F3AB1" w:rsidRDefault="00827A41" w:rsidP="005306CE">
            <w:pPr>
              <w:numPr>
                <w:ilvl w:val="0"/>
                <w:numId w:val="8"/>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i/>
                <w:iCs/>
                <w:sz w:val="20"/>
                <w:szCs w:val="20"/>
              </w:rPr>
              <w:t>Sector de alimentos ecológicos</w:t>
            </w:r>
            <w:r w:rsidRPr="008F3AB1">
              <w:rPr>
                <w:rFonts w:cs="Arial"/>
                <w:sz w:val="20"/>
                <w:szCs w:val="20"/>
              </w:rPr>
              <w:t>. (i) Con potencial de crecimiento hacia la exportación. (ii) Con potencial de ser considerado como ejemplo para prácticas de producción y consumo sostenible. </w:t>
            </w:r>
          </w:p>
          <w:p w14:paraId="52ED15DC" w14:textId="77777777" w:rsidR="00827A41" w:rsidRPr="008F3AB1" w:rsidRDefault="00827A41" w:rsidP="005306CE">
            <w:pPr>
              <w:numPr>
                <w:ilvl w:val="0"/>
                <w:numId w:val="8"/>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i/>
                <w:iCs/>
                <w:sz w:val="20"/>
                <w:szCs w:val="20"/>
              </w:rPr>
              <w:t>Sector de productos y servicios provenientes de la biodiversidad</w:t>
            </w:r>
            <w:r w:rsidRPr="008F3AB1">
              <w:rPr>
                <w:rFonts w:cs="Arial"/>
                <w:sz w:val="20"/>
                <w:szCs w:val="20"/>
              </w:rPr>
              <w:t>. (i) Con potencial de crecimiento hacia la exportación. (ii) Con potencial de ser considerado como ejemplo para prácticas de producción, consumo y aprovechamiento sostenible.</w:t>
            </w:r>
          </w:p>
          <w:p w14:paraId="6C6C6F2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w:t>
            </w:r>
          </w:p>
          <w:p w14:paraId="16F17AB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Adicionalmente la política define </w:t>
            </w:r>
            <w:r w:rsidRPr="008F3AB1">
              <w:rPr>
                <w:rFonts w:cs="Arial"/>
                <w:b/>
                <w:bCs/>
                <w:sz w:val="20"/>
                <w:szCs w:val="20"/>
              </w:rPr>
              <w:t>Estrategias y líneas de acción</w:t>
            </w:r>
            <w:r w:rsidRPr="008F3AB1">
              <w:rPr>
                <w:rFonts w:cs="Arial"/>
                <w:sz w:val="20"/>
                <w:szCs w:val="20"/>
              </w:rPr>
              <w:t xml:space="preserve"> para los diferentes actores involucrados en alcanzar los cambios de los patrones de producción y consumo hacia la sostenibilidad. La producción sostenible de aguacate en Colombia se enmarca en las estrategias:</w:t>
            </w:r>
          </w:p>
          <w:p w14:paraId="4A63876B" w14:textId="6FB59379" w:rsidR="00827A41" w:rsidRPr="008F3AB1" w:rsidRDefault="00827A41" w:rsidP="008F3AB1">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w:t>
            </w:r>
            <w:r w:rsidRPr="008F3AB1">
              <w:rPr>
                <w:rFonts w:cs="Arial"/>
                <w:b/>
                <w:bCs/>
                <w:i/>
                <w:iCs/>
                <w:sz w:val="20"/>
                <w:szCs w:val="20"/>
              </w:rPr>
              <w:t>4.5.2 Fortalecimiento de la regulación</w:t>
            </w:r>
            <w:r w:rsidRPr="008F3AB1">
              <w:rPr>
                <w:rFonts w:cs="Arial"/>
                <w:sz w:val="20"/>
                <w:szCs w:val="20"/>
              </w:rPr>
              <w:t>.</w:t>
            </w:r>
          </w:p>
          <w:p w14:paraId="58FF7C6D"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Esta estrategia tiene como objetivo fortalecer el marco regulatorio ambiental y su aplicación, de manera que motive a los actores a apropiarse de estrategias ambientales preventivas. </w:t>
            </w:r>
          </w:p>
          <w:p w14:paraId="509BDDE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Al ajustar el marco regulatorio ambiental a las tendencias de los mercados globalizados e incluir principios preventivos en su concepción, los diferentes actores se verán exhortados a realizar transformaciones productivas más sostenibles y competitivas. </w:t>
            </w:r>
          </w:p>
          <w:p w14:paraId="25EE911F" w14:textId="7652E020"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Las acciones instrumentales de esta estrategia que son del resorte ambienta y en los cuales participan las autoridades ambientales territoriales son: (i) Fortalecer y ampliar capacidades técnicas al interior de las autoridades ambientales, para el seguimiento de la regulación ambiental. (iv) Desarrollar la regulación y los instrumentos económicos </w:t>
            </w:r>
            <w:r w:rsidRPr="008F3AB1">
              <w:rPr>
                <w:rFonts w:cs="Arial"/>
                <w:sz w:val="20"/>
                <w:szCs w:val="20"/>
              </w:rPr>
              <w:lastRenderedPageBreak/>
              <w:t>para dar cumplimiento a los acuerdos ambientales multilaterales ratificados. (v) Armonizar la regulación ambiental con los sectores afines y de otros países.  </w:t>
            </w:r>
          </w:p>
          <w:p w14:paraId="4C420C41" w14:textId="77777777" w:rsidR="00827A41" w:rsidRPr="008F3AB1" w:rsidRDefault="00827A41" w:rsidP="005306CE">
            <w:pPr>
              <w:numPr>
                <w:ilvl w:val="0"/>
                <w:numId w:val="10"/>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i/>
                <w:iCs/>
                <w:sz w:val="20"/>
                <w:szCs w:val="20"/>
              </w:rPr>
              <w:t>4.5.6 Encadenamiento de actores hacia la producción y consumo sostenible.</w:t>
            </w:r>
            <w:r w:rsidRPr="008F3AB1">
              <w:rPr>
                <w:rFonts w:cs="Arial"/>
                <w:sz w:val="20"/>
                <w:szCs w:val="20"/>
              </w:rPr>
              <w:t> </w:t>
            </w:r>
          </w:p>
          <w:p w14:paraId="1CDD0A15"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Esta estrategia tiene como objetivo, optimizar el uso de recursos e insumos, el aprovechamiento de residuos, la difusión de buenas prácticas, tecnologías más limpias y, la comercialización de productos sostenibles, a través del encadenamiento de empresas y actores. De esta manera, la estrategia busca generar sinergias y colaboración entre empresas que apuntan a cambios grupales. </w:t>
            </w:r>
          </w:p>
          <w:p w14:paraId="70E8CDD6" w14:textId="77777777" w:rsidR="00827A41" w:rsidRPr="008F3AB1" w:rsidRDefault="00827A41" w:rsidP="005306CE">
            <w:pPr>
              <w:numPr>
                <w:ilvl w:val="0"/>
                <w:numId w:val="11"/>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i/>
                <w:iCs/>
                <w:sz w:val="20"/>
                <w:szCs w:val="20"/>
              </w:rPr>
              <w:t>4.5.7 Emprendimiento de negocios verdes</w:t>
            </w:r>
            <w:r w:rsidRPr="008F3AB1">
              <w:rPr>
                <w:rFonts w:cs="Arial"/>
                <w:sz w:val="20"/>
                <w:szCs w:val="20"/>
              </w:rPr>
              <w:t>. </w:t>
            </w:r>
          </w:p>
          <w:p w14:paraId="2E2D7525"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El objetivo de esta estrategia es promover el emprendimiento de negocios verdes (productos o servicios con calidades ambientales y/o aprovechamiento sostenible de la biodiversidad) y el fortalecimiento de los ya existentes. </w:t>
            </w:r>
          </w:p>
          <w:p w14:paraId="20F3C8C3"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43699CC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El impulso de negocios verdes contribuye a la transformación productiva y a la generación de empleo, así como al desarrollo de un sector con alto potencial. Las acciones instrumentales de esta estrategia son: (i) La ampliación de la capacidad de redes y programas de incubación y aceleración de emprendimientos verdes (p. ej. Observatorio Nacional de Biocomercio). (ii) El fortalecimiento de ferias, exposiciones y espacios de intercambio comercial de negocios verdes. (iii) La creación y articulación de fondos de inversión de capital semilla para negocios con alto potencial de éxito. (iv) El desarrollo de una plataforma de información pública sobre emprendimientos sostenibles (criterios, programas, portafolios, inversión y ventas). (v) La articulación de concursos de planes de negocios enfocados hacia el emprendimiento de negocios verdes.  </w:t>
            </w:r>
          </w:p>
          <w:p w14:paraId="45B08A7C"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20BD8B1E" w14:textId="77777777" w:rsidR="00827A41" w:rsidRPr="008F3AB1" w:rsidRDefault="00827A41" w:rsidP="005306CE">
            <w:pPr>
              <w:numPr>
                <w:ilvl w:val="0"/>
                <w:numId w:val="12"/>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bCs/>
                <w:i/>
                <w:iCs/>
                <w:sz w:val="20"/>
                <w:szCs w:val="20"/>
              </w:rPr>
              <w:t>4.5.8 Gestión e integración de diferentes actores involucrados en programas y proyectos de producción y consumo sostenible.</w:t>
            </w:r>
            <w:r w:rsidRPr="008F3AB1">
              <w:rPr>
                <w:rFonts w:cs="Arial"/>
                <w:sz w:val="20"/>
                <w:szCs w:val="20"/>
              </w:rPr>
              <w:t> </w:t>
            </w:r>
          </w:p>
          <w:p w14:paraId="228ED01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El objetivo de esta estrategia es asegurar la difusión, aplicación, seguimiento, evaluación y ajuste de los objetivos, estrategias y acciones instrumentales. Este eje para la gestión de la política facilita la articulación entre las demás estrategias hacia el objetivo común de la Política de Producción y Consumo Sostenible. </w:t>
            </w:r>
          </w:p>
          <w:p w14:paraId="77E2259B" w14:textId="092D40DF" w:rsidR="00827A41" w:rsidRPr="008F3AB1" w:rsidRDefault="00827A41" w:rsidP="008F3AB1">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Las acciones instrumentales en las cuales las Autoridades Ambientales territoriales pueden vincularse son: (i) Desarrollo de agendas conjuntas de trabajo y revisión y/o </w:t>
            </w:r>
            <w:r w:rsidRPr="008F3AB1">
              <w:rPr>
                <w:rFonts w:cs="Arial"/>
                <w:sz w:val="20"/>
                <w:szCs w:val="20"/>
              </w:rPr>
              <w:lastRenderedPageBreak/>
              <w:t>ajuste de los convenios sectoriales de producción más limpia firmados como espacios de concertación. (iv) Gestión de la cooperación internacional para fortalecer los programas, proyectos y planes de producción y consumo sostenible. (vii) Definición, desarrollo y seguimiento de indicadores que permitan medir los resultados y avances de la política </w:t>
            </w:r>
          </w:p>
        </w:tc>
      </w:tr>
      <w:tr w:rsidR="00827A41" w:rsidRPr="008F3AB1" w14:paraId="7FB165FE" w14:textId="77777777" w:rsidTr="00E24C10">
        <w:trPr>
          <w:trHeight w:val="1550"/>
        </w:trPr>
        <w:tc>
          <w:tcPr>
            <w:cnfStyle w:val="001000000000" w:firstRow="0" w:lastRow="0" w:firstColumn="1" w:lastColumn="0" w:oddVBand="0" w:evenVBand="0" w:oddHBand="0" w:evenHBand="0" w:firstRowFirstColumn="0" w:firstRowLastColumn="0" w:lastRowFirstColumn="0" w:lastRowLastColumn="0"/>
            <w:tcW w:w="1984" w:type="dxa"/>
          </w:tcPr>
          <w:p w14:paraId="08BFD299" w14:textId="77777777" w:rsidR="00827A41" w:rsidRPr="008F3AB1" w:rsidRDefault="00827A41" w:rsidP="00E24C10">
            <w:pPr>
              <w:rPr>
                <w:rFonts w:cs="Arial"/>
                <w:sz w:val="20"/>
                <w:szCs w:val="20"/>
              </w:rPr>
            </w:pPr>
            <w:r w:rsidRPr="008F3AB1">
              <w:rPr>
                <w:rFonts w:cs="Arial"/>
                <w:sz w:val="20"/>
                <w:szCs w:val="20"/>
              </w:rPr>
              <w:lastRenderedPageBreak/>
              <w:t>Producción sostenible</w:t>
            </w:r>
          </w:p>
        </w:tc>
        <w:tc>
          <w:tcPr>
            <w:tcW w:w="1845" w:type="dxa"/>
            <w:hideMark/>
          </w:tcPr>
          <w:p w14:paraId="41FEF9D2"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6DC2B6A4"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61E5AB1C"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42E242FD"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Política de Producción más limpia</w:t>
            </w:r>
          </w:p>
          <w:p w14:paraId="7D30BA60" w14:textId="77777777" w:rsidR="00827A41" w:rsidRPr="008F3AB1" w:rsidRDefault="00CD7AEB"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sdt>
              <w:sdtPr>
                <w:rPr>
                  <w:rFonts w:cs="Arial"/>
                  <w:sz w:val="20"/>
                  <w:szCs w:val="20"/>
                </w:rPr>
                <w:id w:val="-1499187183"/>
                <w:citation/>
              </w:sdtPr>
              <w:sdtContent>
                <w:r w:rsidR="00827A41" w:rsidRPr="008F3AB1">
                  <w:rPr>
                    <w:rFonts w:cs="Arial"/>
                    <w:sz w:val="20"/>
                    <w:szCs w:val="20"/>
                  </w:rPr>
                  <w:fldChar w:fldCharType="begin"/>
                </w:r>
                <w:r w:rsidR="00827A41" w:rsidRPr="008F3AB1">
                  <w:rPr>
                    <w:rFonts w:cs="Arial"/>
                    <w:sz w:val="20"/>
                    <w:szCs w:val="20"/>
                  </w:rPr>
                  <w:instrText xml:space="preserve">CITATION MMA97 \l 9226 </w:instrText>
                </w:r>
                <w:r w:rsidR="00827A41" w:rsidRPr="008F3AB1">
                  <w:rPr>
                    <w:rFonts w:cs="Arial"/>
                    <w:sz w:val="20"/>
                    <w:szCs w:val="20"/>
                  </w:rPr>
                  <w:fldChar w:fldCharType="separate"/>
                </w:r>
                <w:r w:rsidR="00827A41" w:rsidRPr="008F3AB1">
                  <w:rPr>
                    <w:rFonts w:cs="Arial"/>
                    <w:noProof/>
                    <w:sz w:val="20"/>
                    <w:szCs w:val="20"/>
                  </w:rPr>
                  <w:t>(Ministerio de Medio Ambiente, 1997)</w:t>
                </w:r>
                <w:r w:rsidR="00827A41" w:rsidRPr="008F3AB1">
                  <w:rPr>
                    <w:rFonts w:cs="Arial"/>
                    <w:sz w:val="20"/>
                    <w:szCs w:val="20"/>
                  </w:rPr>
                  <w:fldChar w:fldCharType="end"/>
                </w:r>
              </w:sdtContent>
            </w:sdt>
          </w:p>
        </w:tc>
        <w:tc>
          <w:tcPr>
            <w:tcW w:w="5527" w:type="dxa"/>
            <w:hideMark/>
          </w:tcPr>
          <w:p w14:paraId="516AE63E"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En la política se define la producción más limpia como la aplicación continua de una estrategia ambiental preventiva e integrada en los procesos productivos, los productos y los servicios, para reducir los riesgos relevantes a los humanos y al ambiente.</w:t>
            </w:r>
          </w:p>
          <w:p w14:paraId="2D37B719"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Los procesos productivos se orientan hacia la conservación de materias primas y energía, la eliminación de materias primas tóxicas, y la reducción de la cantidad y toxicidad de todas las emisiones contaminantes y los desechos.</w:t>
            </w:r>
          </w:p>
          <w:p w14:paraId="10A72D2C"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En los productos se orienta hacia la reducción de los impactos negativos que acompañan el ciclo de vida del producto, desde la extracción de materias primas hasta su disposición final. En los servicios se orienta hacia la incorporación de la dimensión ambiental, tanto en el diseño como en la prestación de estos.</w:t>
            </w:r>
          </w:p>
          <w:p w14:paraId="6022DB85"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La política cuenta con los siguientes objetivos:</w:t>
            </w:r>
          </w:p>
          <w:p w14:paraId="7441B6F4" w14:textId="3312DB8C"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OBJETIVO GLOBAL </w:t>
            </w:r>
          </w:p>
          <w:p w14:paraId="18149F1C"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Prevenir y minimizar eficientemente los impactos y riesgos a los seres humanos y al medio ambiente, garantizando la protección ambiental, el crecimiento económico, el bienestar social y la competitividad empresarial, a partir de introducir la dimensión ambiental en los sectores productivos, como un desafío de largo plazo.</w:t>
            </w:r>
          </w:p>
          <w:p w14:paraId="388F4F4D" w14:textId="022245CC"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OBJETIVOS ESPECIFICOS</w:t>
            </w:r>
          </w:p>
          <w:p w14:paraId="6CE20520"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Optimizar el consumo de recursos naturales y materias primas.</w:t>
            </w:r>
          </w:p>
          <w:p w14:paraId="35EB99C2"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Aumentar la eficiencia energética y utilizar energéticos más limpios.</w:t>
            </w:r>
          </w:p>
          <w:p w14:paraId="2A766824"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Prevenir y Minimizar la generación de cargas contaminantes.</w:t>
            </w:r>
          </w:p>
          <w:p w14:paraId="1B85FD8E"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Prevenir, mitigar, corregir y compensar los impactos ambientales sobre la población y los ecosistemas.</w:t>
            </w:r>
          </w:p>
          <w:p w14:paraId="7E5CE735"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Adoptar tecnologías más limpias y prácticas de mejoramiento continuo de la gestión ambiental.</w:t>
            </w:r>
          </w:p>
          <w:p w14:paraId="4D1EC60D"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Minimizar y aprovechar los residuos.</w:t>
            </w:r>
          </w:p>
          <w:p w14:paraId="23DF586E"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Dentro de las estrategias asociadas a la producción de aguacate se encuentra la</w:t>
            </w:r>
            <w:r w:rsidRPr="008F3AB1">
              <w:rPr>
                <w:rFonts w:cs="Arial"/>
                <w:b/>
                <w:bCs/>
                <w:sz w:val="20"/>
                <w:szCs w:val="20"/>
              </w:rPr>
              <w:t xml:space="preserve"> Promoción de producción más limpia en los sectores productivos</w:t>
            </w:r>
            <w:r w:rsidRPr="008F3AB1">
              <w:rPr>
                <w:rFonts w:cs="Arial"/>
                <w:sz w:val="20"/>
                <w:szCs w:val="20"/>
              </w:rPr>
              <w:t>.</w:t>
            </w:r>
          </w:p>
          <w:p w14:paraId="047DD1E4"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Se presenta como acciones instrumentales de la política: trabajo conjunto y concertado entre las autoridades ambientales, los gremios del sector productivo y el sector académico, con el concurso de otras instancias gubernamentales y organismos internacionales. </w:t>
            </w:r>
          </w:p>
          <w:p w14:paraId="4A82317D"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Considera, además, circunstancias particulares de empresarios que, por su naturaleza misma, es difícil que la competencia o los mercados actúen para inducirlos a resultados eficientes, siendo la estrategia estimular a “la legalidad ambiental”, a un mayor número de actividades productivas posible. </w:t>
            </w:r>
          </w:p>
        </w:tc>
      </w:tr>
      <w:tr w:rsidR="00827A41" w:rsidRPr="008F3AB1" w14:paraId="25206A98"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53A2BC74" w14:textId="77777777" w:rsidR="00827A41" w:rsidRPr="008F3AB1" w:rsidRDefault="00827A41" w:rsidP="00E24C10">
            <w:pPr>
              <w:rPr>
                <w:rFonts w:cs="Arial"/>
                <w:sz w:val="20"/>
                <w:szCs w:val="20"/>
              </w:rPr>
            </w:pPr>
            <w:r w:rsidRPr="008F3AB1">
              <w:rPr>
                <w:rFonts w:cs="Arial"/>
                <w:sz w:val="20"/>
                <w:szCs w:val="20"/>
              </w:rPr>
              <w:lastRenderedPageBreak/>
              <w:t>Producción sostenible</w:t>
            </w:r>
          </w:p>
        </w:tc>
        <w:tc>
          <w:tcPr>
            <w:tcW w:w="1845" w:type="dxa"/>
            <w:hideMark/>
          </w:tcPr>
          <w:p w14:paraId="25249FA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090DD0FE"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Decreto 2803 de 2010 </w:t>
            </w:r>
          </w:p>
          <w:p w14:paraId="0433FB95" w14:textId="12459E20" w:rsidR="00827A41" w:rsidRPr="008F3AB1" w:rsidRDefault="00827A41" w:rsidP="00FB012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Cs/>
                <w:i/>
                <w:sz w:val="20"/>
                <w:szCs w:val="20"/>
              </w:rPr>
              <w:t>Por el cual se reglamenta la Ley </w:t>
            </w:r>
            <w:r w:rsidRPr="008F3AB1">
              <w:rPr>
                <w:rFonts w:cs="Arial"/>
                <w:i/>
                <w:sz w:val="20"/>
                <w:szCs w:val="20"/>
              </w:rPr>
              <w:t>1377</w:t>
            </w:r>
            <w:r w:rsidRPr="008F3AB1">
              <w:rPr>
                <w:rFonts w:cs="Arial"/>
                <w:bCs/>
                <w:i/>
                <w:sz w:val="20"/>
                <w:szCs w:val="20"/>
              </w:rPr>
              <w:t> de 2010, sobre registro de cultivos forestales y sistemas agroforestales con fines comerciales, de plantaciones protectoras - productoras la movilización de productos forestales de transformación primaria y se dictan otras disposiciones</w:t>
            </w:r>
          </w:p>
        </w:tc>
        <w:tc>
          <w:tcPr>
            <w:tcW w:w="5527" w:type="dxa"/>
            <w:hideMark/>
          </w:tcPr>
          <w:p w14:paraId="19DEC2D0"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La ley 1377 de 2010 define los cultivos forestales y sistemas agroforestales (dentro de los cuales pueden entrar los cultivos de aguacate que se desarrollen con sistemas agroforestales, pero no aplica para el monocultivo), los cuales deben registrados y establece los requisitos para adelantar esta actividad.</w:t>
            </w:r>
          </w:p>
          <w:p w14:paraId="03BF3DB3"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El Decreto 2803 de 2010 establece los procedimientos para el registro de cultivos forestales y sistemas agroforestales con fines comerciales, de plantaciones protectoras - productoras la movilización de productos forestales de transformación primaria.</w:t>
            </w:r>
          </w:p>
          <w:p w14:paraId="7C0B2876"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Adicionalmente el Decreto 2803 de 2010 hace énfasis en la obligatoriedad para el aprovechamiento de los recursos naturales, contar con los permisos por parte de las autoridades ambientales y su ubicación en áreas compatibles con estas actividades, definidas por los instrumentos de planificación.</w:t>
            </w:r>
          </w:p>
          <w:p w14:paraId="7B5FCBF5"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827A41" w:rsidRPr="008F3AB1" w14:paraId="6E5FB117" w14:textId="77777777" w:rsidTr="00E24C10">
        <w:tc>
          <w:tcPr>
            <w:cnfStyle w:val="001000000000" w:firstRow="0" w:lastRow="0" w:firstColumn="1" w:lastColumn="0" w:oddVBand="0" w:evenVBand="0" w:oddHBand="0" w:evenHBand="0" w:firstRowFirstColumn="0" w:firstRowLastColumn="0" w:lastRowFirstColumn="0" w:lastRowLastColumn="0"/>
            <w:tcW w:w="1984" w:type="dxa"/>
          </w:tcPr>
          <w:p w14:paraId="67A614F8" w14:textId="77777777" w:rsidR="00827A41" w:rsidRPr="008F3AB1" w:rsidRDefault="00827A41" w:rsidP="00E24C10">
            <w:pPr>
              <w:rPr>
                <w:rFonts w:cs="Arial"/>
                <w:sz w:val="20"/>
                <w:szCs w:val="20"/>
              </w:rPr>
            </w:pPr>
            <w:r w:rsidRPr="008F3AB1">
              <w:rPr>
                <w:rFonts w:cs="Arial"/>
                <w:sz w:val="20"/>
                <w:szCs w:val="20"/>
              </w:rPr>
              <w:t>Producción sostenible</w:t>
            </w:r>
          </w:p>
        </w:tc>
        <w:tc>
          <w:tcPr>
            <w:tcW w:w="1845" w:type="dxa"/>
            <w:hideMark/>
          </w:tcPr>
          <w:p w14:paraId="697F606F"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Decreto 1843 de 1991</w:t>
            </w:r>
          </w:p>
          <w:p w14:paraId="4C024B7B" w14:textId="0E238C42" w:rsidR="00827A41" w:rsidRPr="008F3AB1" w:rsidRDefault="00827A41" w:rsidP="00FB012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i/>
                <w:sz w:val="20"/>
                <w:szCs w:val="20"/>
              </w:rPr>
              <w:t xml:space="preserve">Por el cual se reglamentan parcialmente los Títulos III, V, VI, VII y XI de la Ley 09 de 1979, sobre </w:t>
            </w:r>
            <w:r w:rsidRPr="008F3AB1">
              <w:rPr>
                <w:rFonts w:cs="Arial"/>
                <w:i/>
                <w:sz w:val="20"/>
                <w:szCs w:val="20"/>
              </w:rPr>
              <w:lastRenderedPageBreak/>
              <w:t>uso y manejo de plaguicidas</w:t>
            </w:r>
          </w:p>
        </w:tc>
        <w:tc>
          <w:tcPr>
            <w:tcW w:w="5527" w:type="dxa"/>
            <w:hideMark/>
          </w:tcPr>
          <w:p w14:paraId="0F1687AD"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El Decreto reglamenta el uso y manejo de plaguicidas y específicamente el Artículo 87 establece la obligación de que los plaguicidas en zonas rurales no podrán efectuarse a menos de 10 metros en forma terrestre y de 100 metros para el área como franja de seguridad, en relación con cuerpos o cursos de agua, carreteras troncales, núcleos de población humana y animal, o cualquiera otra área que requiera protección especial.</w:t>
            </w:r>
          </w:p>
        </w:tc>
      </w:tr>
      <w:tr w:rsidR="00827A41" w:rsidRPr="008F3AB1" w14:paraId="2A1576FC"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6819B6DD" w14:textId="77777777" w:rsidR="00827A41" w:rsidRPr="008F3AB1" w:rsidRDefault="00827A41" w:rsidP="00E24C10">
            <w:pPr>
              <w:rPr>
                <w:rFonts w:cs="Arial"/>
                <w:sz w:val="20"/>
                <w:szCs w:val="20"/>
              </w:rPr>
            </w:pPr>
            <w:r w:rsidRPr="008F3AB1">
              <w:rPr>
                <w:rFonts w:cs="Arial"/>
                <w:sz w:val="20"/>
                <w:szCs w:val="20"/>
              </w:rPr>
              <w:lastRenderedPageBreak/>
              <w:t>Producción sostenible</w:t>
            </w:r>
          </w:p>
        </w:tc>
        <w:tc>
          <w:tcPr>
            <w:tcW w:w="1845" w:type="dxa"/>
            <w:hideMark/>
          </w:tcPr>
          <w:p w14:paraId="3D8931B3"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53446BB4"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02E4C3C4"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Plan Nacional de Negocios Verdes </w:t>
            </w:r>
          </w:p>
          <w:p w14:paraId="1D36F4D8" w14:textId="77777777" w:rsidR="00827A41" w:rsidRPr="008F3AB1" w:rsidRDefault="00CD7AEB"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sdt>
              <w:sdtPr>
                <w:rPr>
                  <w:rFonts w:cs="Arial"/>
                  <w:sz w:val="20"/>
                  <w:szCs w:val="20"/>
                </w:rPr>
                <w:id w:val="-1123454144"/>
                <w:citation/>
              </w:sdtPr>
              <w:sdtContent>
                <w:r w:rsidR="00827A41" w:rsidRPr="008F3AB1">
                  <w:rPr>
                    <w:rFonts w:cs="Arial"/>
                    <w:sz w:val="20"/>
                    <w:szCs w:val="20"/>
                  </w:rPr>
                  <w:fldChar w:fldCharType="begin"/>
                </w:r>
                <w:r w:rsidR="00827A41" w:rsidRPr="008F3AB1">
                  <w:rPr>
                    <w:rFonts w:cs="Arial"/>
                    <w:sz w:val="20"/>
                    <w:szCs w:val="20"/>
                  </w:rPr>
                  <w:instrText xml:space="preserve">CITATION MAD14 \l 9226 </w:instrText>
                </w:r>
                <w:r w:rsidR="00827A41" w:rsidRPr="008F3AB1">
                  <w:rPr>
                    <w:rFonts w:cs="Arial"/>
                    <w:sz w:val="20"/>
                    <w:szCs w:val="20"/>
                  </w:rPr>
                  <w:fldChar w:fldCharType="separate"/>
                </w:r>
                <w:r w:rsidR="00827A41" w:rsidRPr="008F3AB1">
                  <w:rPr>
                    <w:rFonts w:cs="Arial"/>
                    <w:noProof/>
                    <w:sz w:val="20"/>
                    <w:szCs w:val="20"/>
                  </w:rPr>
                  <w:t>(MinAmbiente, 2014)</w:t>
                </w:r>
                <w:r w:rsidR="00827A41" w:rsidRPr="008F3AB1">
                  <w:rPr>
                    <w:rFonts w:cs="Arial"/>
                    <w:sz w:val="20"/>
                    <w:szCs w:val="20"/>
                  </w:rPr>
                  <w:fldChar w:fldCharType="end"/>
                </w:r>
              </w:sdtContent>
            </w:sdt>
            <w:r w:rsidR="00827A41" w:rsidRPr="008F3AB1">
              <w:rPr>
                <w:rFonts w:cs="Arial"/>
                <w:sz w:val="20"/>
                <w:szCs w:val="20"/>
              </w:rPr>
              <w:t> </w:t>
            </w:r>
          </w:p>
        </w:tc>
        <w:tc>
          <w:tcPr>
            <w:tcW w:w="5527" w:type="dxa"/>
            <w:hideMark/>
          </w:tcPr>
          <w:p w14:paraId="605BD69D"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El plan genera lineamientos y herramientas para la planificación y toma de decisiones que permitan el desarrollo, el fomento y la promoción tanto de la oferta como de la demanda de los Negocios Verdes y Sostenibles en el país, al horizonte del año 2030, a través de la implementación de una plataforma adecuada de instrumentos, incentivos, coordinación y articulación institucional que conlleve al crecimiento económico, la generación de empleo y la conservación del capital natural de Colombia.</w:t>
            </w:r>
          </w:p>
          <w:p w14:paraId="0016E283"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El plan cuenta con tres objetivos específicos que son: </w:t>
            </w:r>
          </w:p>
          <w:p w14:paraId="08FC6E2C" w14:textId="77777777" w:rsidR="00827A41" w:rsidRPr="008F3AB1" w:rsidRDefault="00827A41" w:rsidP="00E24C10">
            <w:pPr>
              <w:ind w:left="708"/>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OE1. Desarrollar e implementar una ruta de acompañamiento replicable para aumentar la oferta de emprendimientos verdes inclusivos en los territorios, contando con el apoyo de todo el Sistema Nacional Ambiental.</w:t>
            </w:r>
          </w:p>
          <w:p w14:paraId="571B3266" w14:textId="77777777" w:rsidR="00827A41" w:rsidRPr="008F3AB1" w:rsidRDefault="00827A41" w:rsidP="00E24C10">
            <w:pPr>
              <w:ind w:left="708"/>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OE2. Fortalecer y escalar negocios verdes verificados con presencia en mercados regionales, nacionales e internacionales y realizar reportes de indicadores de sostenibilidad.</w:t>
            </w:r>
          </w:p>
          <w:p w14:paraId="49696530" w14:textId="77777777" w:rsidR="00827A41" w:rsidRPr="008F3AB1" w:rsidRDefault="00827A41" w:rsidP="00E24C10">
            <w:pPr>
              <w:ind w:left="708"/>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OE3. Fortalecer los mercados de los negocios verdes con la integración de empresas ancla que cumplen indicadores de sostenibilidad e incorporen NV en redes de suministro y cadenas de valor.</w:t>
            </w:r>
            <w:r w:rsidRPr="008F3AB1">
              <w:rPr>
                <w:rFonts w:cs="Arial"/>
                <w:sz w:val="20"/>
                <w:szCs w:val="20"/>
              </w:rPr>
              <w:cr/>
            </w:r>
          </w:p>
          <w:p w14:paraId="6B5BCCE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El plan realiza una definición y clasificación de los Negocios Verdes en tres (3) categorías y ocho (8) sectores, que pueden ser dinámicos y cambiantes en el tiempo</w:t>
            </w:r>
          </w:p>
          <w:p w14:paraId="57E49F59"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Se entienden por </w:t>
            </w:r>
            <w:r w:rsidRPr="008F3AB1">
              <w:rPr>
                <w:rFonts w:cs="Arial"/>
                <w:b/>
                <w:bCs/>
                <w:sz w:val="20"/>
                <w:szCs w:val="20"/>
              </w:rPr>
              <w:t>Negocios Verdes y Sostenibles</w:t>
            </w:r>
            <w:r w:rsidRPr="008F3AB1">
              <w:rPr>
                <w:rFonts w:cs="Arial"/>
                <w:sz w:val="20"/>
                <w:szCs w:val="20"/>
              </w:rPr>
              <w:t xml:space="preserve"> las actividades económicas en las que se ofrecen bienes o servicios que generan impactos ambientales positivos y que, además, incorporan buenas prácticas ambientales, sociales y económicas, con enfoque de ciclo de vida, contribuyendo a la conservación del ambiente como capital natural que soporta el desarrollo del territorio.</w:t>
            </w:r>
          </w:p>
          <w:p w14:paraId="42D45994" w14:textId="147792AA"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La producción sostenible de aguacate en Colombia se encuentra en las siguientes categorías y sectores según el plan nacional de negocios verdes: </w:t>
            </w:r>
          </w:p>
          <w:p w14:paraId="51A69D57" w14:textId="78949491"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w:t>
            </w:r>
            <w:r w:rsidRPr="008F3AB1">
              <w:rPr>
                <w:rFonts w:cs="Arial"/>
                <w:b/>
                <w:bCs/>
                <w:sz w:val="20"/>
                <w:szCs w:val="20"/>
              </w:rPr>
              <w:t>Categoría</w:t>
            </w:r>
            <w:r w:rsidRPr="008F3AB1">
              <w:rPr>
                <w:rFonts w:cs="Arial"/>
                <w:sz w:val="20"/>
                <w:szCs w:val="20"/>
              </w:rPr>
              <w:t xml:space="preserve"> </w:t>
            </w:r>
            <w:r w:rsidRPr="008F3AB1">
              <w:rPr>
                <w:rFonts w:cs="Arial"/>
                <w:b/>
                <w:sz w:val="20"/>
                <w:szCs w:val="20"/>
              </w:rPr>
              <w:t>bioproductos y servicios sostenibles</w:t>
            </w:r>
            <w:r w:rsidRPr="008F3AB1">
              <w:rPr>
                <w:rFonts w:cs="Arial"/>
                <w:sz w:val="20"/>
                <w:szCs w:val="20"/>
              </w:rPr>
              <w:t>: en la subcategoría agrosistemas sostenibles y actividad agricultura sostenible.</w:t>
            </w:r>
          </w:p>
          <w:p w14:paraId="4B161AF8" w14:textId="1B694B48" w:rsidR="00827A41" w:rsidRPr="008F3AB1" w:rsidRDefault="00827A41" w:rsidP="00FB012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
                <w:sz w:val="20"/>
                <w:szCs w:val="20"/>
              </w:rPr>
              <w:lastRenderedPageBreak/>
              <w:t>Categoría productos por la calidad ambiental:</w:t>
            </w:r>
            <w:r w:rsidRPr="008F3AB1">
              <w:rPr>
                <w:rFonts w:cs="Arial"/>
                <w:sz w:val="20"/>
                <w:szCs w:val="20"/>
              </w:rPr>
              <w:t xml:space="preserve"> en la subcategoría Negocios asociados con la preservación y restauración de ecosistemas en la actividad productiva recuperación y remediación. </w:t>
            </w:r>
          </w:p>
        </w:tc>
      </w:tr>
      <w:tr w:rsidR="00827A41" w:rsidRPr="008F3AB1" w14:paraId="67A38D54" w14:textId="77777777" w:rsidTr="00E24C10">
        <w:tc>
          <w:tcPr>
            <w:cnfStyle w:val="001000000000" w:firstRow="0" w:lastRow="0" w:firstColumn="1" w:lastColumn="0" w:oddVBand="0" w:evenVBand="0" w:oddHBand="0" w:evenHBand="0" w:firstRowFirstColumn="0" w:firstRowLastColumn="0" w:lastRowFirstColumn="0" w:lastRowLastColumn="0"/>
            <w:tcW w:w="1984" w:type="dxa"/>
          </w:tcPr>
          <w:p w14:paraId="148261B0" w14:textId="77777777" w:rsidR="00827A41" w:rsidRPr="008F3AB1" w:rsidRDefault="00827A41" w:rsidP="00E24C10">
            <w:pPr>
              <w:rPr>
                <w:rFonts w:cs="Arial"/>
                <w:sz w:val="20"/>
                <w:szCs w:val="20"/>
              </w:rPr>
            </w:pPr>
            <w:r w:rsidRPr="008F3AB1">
              <w:rPr>
                <w:rFonts w:cs="Arial"/>
                <w:sz w:val="20"/>
                <w:szCs w:val="20"/>
              </w:rPr>
              <w:lastRenderedPageBreak/>
              <w:t>Producción sostenible</w:t>
            </w:r>
          </w:p>
        </w:tc>
        <w:tc>
          <w:tcPr>
            <w:tcW w:w="1845" w:type="dxa"/>
            <w:hideMark/>
          </w:tcPr>
          <w:p w14:paraId="68EA62FE"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“Estrategia nacional de economía circular. Cierre de ciclos de materiales, innovación tecnológica, colaboración y nuevos modelos de negocio” </w:t>
            </w:r>
          </w:p>
          <w:p w14:paraId="02E4A41C" w14:textId="77777777" w:rsidR="00827A41" w:rsidRPr="008F3AB1" w:rsidRDefault="00CD7AEB"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sdt>
              <w:sdtPr>
                <w:rPr>
                  <w:rFonts w:cs="Arial"/>
                  <w:sz w:val="20"/>
                  <w:szCs w:val="20"/>
                </w:rPr>
                <w:id w:val="1091742004"/>
                <w:citation/>
              </w:sdtPr>
              <w:sdtContent>
                <w:r w:rsidR="00827A41" w:rsidRPr="008F3AB1">
                  <w:rPr>
                    <w:rFonts w:cs="Arial"/>
                    <w:sz w:val="20"/>
                    <w:szCs w:val="20"/>
                  </w:rPr>
                  <w:fldChar w:fldCharType="begin"/>
                </w:r>
                <w:r w:rsidR="00827A41" w:rsidRPr="008F3AB1">
                  <w:rPr>
                    <w:rFonts w:cs="Arial"/>
                    <w:sz w:val="20"/>
                    <w:szCs w:val="20"/>
                  </w:rPr>
                  <w:instrText xml:space="preserve"> CITATION Gob19 \l 9226 </w:instrText>
                </w:r>
                <w:r w:rsidR="00827A41" w:rsidRPr="008F3AB1">
                  <w:rPr>
                    <w:rFonts w:cs="Arial"/>
                    <w:sz w:val="20"/>
                    <w:szCs w:val="20"/>
                  </w:rPr>
                  <w:fldChar w:fldCharType="separate"/>
                </w:r>
                <w:r w:rsidR="00827A41" w:rsidRPr="008F3AB1">
                  <w:rPr>
                    <w:rFonts w:cs="Arial"/>
                    <w:noProof/>
                    <w:sz w:val="20"/>
                    <w:szCs w:val="20"/>
                  </w:rPr>
                  <w:t>(Gobierno de Colombia, 2019)</w:t>
                </w:r>
                <w:r w:rsidR="00827A41" w:rsidRPr="008F3AB1">
                  <w:rPr>
                    <w:rFonts w:cs="Arial"/>
                    <w:sz w:val="20"/>
                    <w:szCs w:val="20"/>
                  </w:rPr>
                  <w:fldChar w:fldCharType="end"/>
                </w:r>
              </w:sdtContent>
            </w:sdt>
          </w:p>
          <w:p w14:paraId="187886FD"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hideMark/>
          </w:tcPr>
          <w:p w14:paraId="62DF4FF5"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La Estrategia nacional de economía circular propende por un modelo de desarrollo económico que incluye la valorización continua de los recursos, el cierre de ciclos de materiales, agua y energía, la creación de nuevos modelos de negocio, la promoción de la simbiosis industrial y la consolidación de ciudades sostenibles, con el fin, entre otros, de optimizar la eficiencia en la producción y consumo de materiales, y reducir la huella hídrica y de carbono</w:t>
            </w:r>
            <w:r w:rsidRPr="008F3AB1">
              <w:rPr>
                <w:rFonts w:cs="Arial"/>
                <w:i/>
                <w:iCs/>
                <w:sz w:val="20"/>
                <w:szCs w:val="20"/>
              </w:rPr>
              <w:t>.</w:t>
            </w:r>
            <w:r w:rsidRPr="008F3AB1">
              <w:rPr>
                <w:rFonts w:cs="Arial"/>
                <w:sz w:val="20"/>
                <w:szCs w:val="20"/>
              </w:rPr>
              <w:t> </w:t>
            </w:r>
          </w:p>
          <w:p w14:paraId="49E5883B" w14:textId="624556E6"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La Estrategia nacional de economía circular tiene como público objetivo a:</w:t>
            </w:r>
          </w:p>
          <w:p w14:paraId="1EAD2F48"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 Empresas cuya actividad económica sea parte de las </w:t>
            </w:r>
            <w:r w:rsidRPr="008F3AB1">
              <w:rPr>
                <w:rFonts w:cs="Arial"/>
                <w:b/>
                <w:bCs/>
                <w:sz w:val="20"/>
                <w:szCs w:val="20"/>
              </w:rPr>
              <w:t>cadenas productivas asociadas a agricultura</w:t>
            </w:r>
            <w:r w:rsidRPr="008F3AB1">
              <w:rPr>
                <w:rFonts w:cs="Arial"/>
                <w:sz w:val="20"/>
                <w:szCs w:val="20"/>
              </w:rPr>
              <w:t>, ganadería, caza, silvicultura y pesca; explotación de minas y canteras, industrias manufactureras, suministro de electricidad, gas, vapor y aire acondicionado; distribución de agua; evacuación y tratamiento de aguas residuales, gestión de desechos y actividades de saneamiento; construcción, comercio, transporte, alojamiento y servicios de comida, actividades financieras y de seguros, actividades de atención a la salud, entre otras. </w:t>
            </w:r>
          </w:p>
          <w:p w14:paraId="75E4DA9C" w14:textId="58084631" w:rsidR="00827A41" w:rsidRPr="008F3AB1" w:rsidRDefault="00827A41" w:rsidP="00FB012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 Exportadores de productos y servicios con criterios de sostenibilidad ambiental y social. </w:t>
            </w:r>
          </w:p>
        </w:tc>
      </w:tr>
      <w:tr w:rsidR="00827A41" w:rsidRPr="008F3AB1" w14:paraId="7E32CD12"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0871B6B2" w14:textId="77777777" w:rsidR="00827A41" w:rsidRPr="008F3AB1" w:rsidRDefault="00827A41" w:rsidP="00E24C10">
            <w:pPr>
              <w:rPr>
                <w:rFonts w:cs="Arial"/>
                <w:sz w:val="20"/>
                <w:szCs w:val="20"/>
              </w:rPr>
            </w:pPr>
            <w:r w:rsidRPr="008F3AB1">
              <w:rPr>
                <w:rFonts w:cs="Arial"/>
                <w:sz w:val="20"/>
                <w:szCs w:val="20"/>
              </w:rPr>
              <w:t>Producción sostenible</w:t>
            </w:r>
          </w:p>
        </w:tc>
        <w:tc>
          <w:tcPr>
            <w:tcW w:w="1845" w:type="dxa"/>
            <w:hideMark/>
          </w:tcPr>
          <w:p w14:paraId="0D7A82B7"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Resolución MinAmbiente 1294 de 2021 </w:t>
            </w:r>
          </w:p>
          <w:p w14:paraId="2FF554DD"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bCs/>
                <w:i/>
                <w:color w:val="000000"/>
                <w:sz w:val="20"/>
              </w:rPr>
              <w:t>“Por la cual se establecen los lineamientos para el desarrollo de actividades agropecuarias de bajo impacto y ambientalmente sostenibles en páramos y se adoptan otras disposiciones</w:t>
            </w:r>
            <w:r w:rsidRPr="008F3AB1">
              <w:rPr>
                <w:rFonts w:cs="Arial"/>
                <w:b/>
                <w:bCs/>
                <w:color w:val="000000"/>
              </w:rPr>
              <w:t>”</w:t>
            </w:r>
            <w:sdt>
              <w:sdtPr>
                <w:rPr>
                  <w:rFonts w:cs="Arial"/>
                  <w:sz w:val="20"/>
                  <w:szCs w:val="20"/>
                </w:rPr>
                <w:id w:val="1599442496"/>
                <w:citation/>
              </w:sdtPr>
              <w:sdtContent>
                <w:r w:rsidRPr="008F3AB1">
                  <w:rPr>
                    <w:rFonts w:cs="Arial"/>
                    <w:sz w:val="20"/>
                    <w:szCs w:val="20"/>
                  </w:rPr>
                  <w:fldChar w:fldCharType="begin"/>
                </w:r>
                <w:r w:rsidRPr="008F3AB1">
                  <w:rPr>
                    <w:rFonts w:cs="Arial"/>
                    <w:sz w:val="20"/>
                    <w:szCs w:val="20"/>
                  </w:rPr>
                  <w:instrText xml:space="preserve"> CITATION Min21 \l 9226 </w:instrText>
                </w:r>
                <w:r w:rsidRPr="008F3AB1">
                  <w:rPr>
                    <w:rFonts w:cs="Arial"/>
                    <w:sz w:val="20"/>
                    <w:szCs w:val="20"/>
                  </w:rPr>
                  <w:fldChar w:fldCharType="separate"/>
                </w:r>
                <w:r w:rsidRPr="008F3AB1">
                  <w:rPr>
                    <w:rFonts w:cs="Arial"/>
                    <w:noProof/>
                    <w:sz w:val="20"/>
                    <w:szCs w:val="20"/>
                  </w:rPr>
                  <w:t xml:space="preserve"> (MinAmbiente, 2021)</w:t>
                </w:r>
                <w:r w:rsidRPr="008F3AB1">
                  <w:rPr>
                    <w:rFonts w:cs="Arial"/>
                    <w:sz w:val="20"/>
                    <w:szCs w:val="20"/>
                  </w:rPr>
                  <w:fldChar w:fldCharType="end"/>
                </w:r>
              </w:sdtContent>
            </w:sdt>
          </w:p>
          <w:p w14:paraId="71C56678"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hideMark/>
          </w:tcPr>
          <w:p w14:paraId="3CF8EEAC" w14:textId="77777777" w:rsidR="00827A41" w:rsidRPr="008F3AB1" w:rsidRDefault="00827A41" w:rsidP="00E24C10">
            <w:pPr>
              <w:ind w:right="39"/>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En el marco de la Ley 1930 de 2018, para la protección de páramos, el MinAmbiente emitió la reglamentación con respecto a las actividades agropecuarias de bajo impacto, las cuales son definidas como: </w:t>
            </w:r>
            <w:r w:rsidRPr="008F3AB1">
              <w:rPr>
                <w:rFonts w:cs="Arial"/>
                <w:i/>
                <w:iCs/>
                <w:sz w:val="20"/>
                <w:szCs w:val="20"/>
              </w:rPr>
              <w:t xml:space="preserve">aquellas actividades circunscritas a los ámbitos agrícola, pecuario, forestal, acuícola o pesquero, cuyos sistemas de producción, además de satisfacer las necesidades básicas de los habitantes tradicionales del páramo generar ingresos económicos, no ponen en riesgo la funcionalidad del ecosistema de páramo, ni la prestación de los servicios ecosistémicos donde se desarrollan </w:t>
            </w:r>
            <w:r w:rsidRPr="008F3AB1">
              <w:rPr>
                <w:rFonts w:cs="Arial"/>
                <w:sz w:val="20"/>
                <w:szCs w:val="20"/>
              </w:rPr>
              <w:t xml:space="preserve"> (Artículo 3).</w:t>
            </w:r>
          </w:p>
          <w:p w14:paraId="6D3DFD7E" w14:textId="503CB4C9" w:rsidR="00827A41" w:rsidRPr="008F3AB1" w:rsidRDefault="00827A41" w:rsidP="00FB012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Adicionalmente, define los lineamientos ambientales para las actividades agropecuarias de bajo impacto y ambientalmente sostenibles en páramos, los cuales deben garantizar la implementación de buenas prácticas que minimicen los impactos sobre los ecosistemas de páramos, con enfoque diferencial, el intercambio de experiencias de producción sostenible y el reconocimiento de estrategias de conservación asociadas a los saberes locales (Artículo 4) </w:t>
            </w:r>
          </w:p>
        </w:tc>
      </w:tr>
      <w:tr w:rsidR="00827A41" w:rsidRPr="008F3AB1" w14:paraId="615B36C7" w14:textId="77777777" w:rsidTr="00E24C10">
        <w:tc>
          <w:tcPr>
            <w:cnfStyle w:val="001000000000" w:firstRow="0" w:lastRow="0" w:firstColumn="1" w:lastColumn="0" w:oddVBand="0" w:evenVBand="0" w:oddHBand="0" w:evenHBand="0" w:firstRowFirstColumn="0" w:firstRowLastColumn="0" w:lastRowFirstColumn="0" w:lastRowLastColumn="0"/>
            <w:tcW w:w="1984" w:type="dxa"/>
          </w:tcPr>
          <w:p w14:paraId="7DF226F1" w14:textId="77777777" w:rsidR="00827A41" w:rsidRPr="008F3AB1" w:rsidRDefault="00827A41" w:rsidP="00E24C10">
            <w:pPr>
              <w:rPr>
                <w:rFonts w:cs="Arial"/>
                <w:sz w:val="20"/>
                <w:szCs w:val="20"/>
              </w:rPr>
            </w:pPr>
            <w:r w:rsidRPr="008F3AB1">
              <w:rPr>
                <w:rFonts w:cs="Arial"/>
                <w:sz w:val="20"/>
                <w:szCs w:val="20"/>
              </w:rPr>
              <w:lastRenderedPageBreak/>
              <w:t>Gestión del recurso sueloe</w:t>
            </w:r>
          </w:p>
        </w:tc>
        <w:tc>
          <w:tcPr>
            <w:tcW w:w="1845" w:type="dxa"/>
            <w:hideMark/>
          </w:tcPr>
          <w:p w14:paraId="4DCCF20C"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4A6E91FF"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0EE3C319"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52C0594B"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Resolución MinAgricultura No 0261 de 2018.</w:t>
            </w:r>
          </w:p>
          <w:p w14:paraId="382E6977"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6790BE30"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i/>
                <w:sz w:val="20"/>
                <w:szCs w:val="20"/>
              </w:rPr>
              <w:t>Por medio de la cual se define la frontera agrícola nacional y se adopta la metodología para la identificación general”.</w:t>
            </w:r>
          </w:p>
          <w:p w14:paraId="36DD2DFA"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hideMark/>
          </w:tcPr>
          <w:p w14:paraId="5E3990EE"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La Resolución define la frontera agrícola nacional como el</w:t>
            </w:r>
            <w:r w:rsidRPr="008F3AB1">
              <w:rPr>
                <w:rFonts w:cs="Arial"/>
                <w:i/>
                <w:iCs/>
                <w:sz w:val="20"/>
                <w:szCs w:val="20"/>
              </w:rPr>
              <w:t xml:space="preserve"> límite del suelo rural que separa las áreas donde se desarrollan las actividades agropecuarias, las áreas condicionadas y las áreas protegidas, las de especial importancia ecológica, y las demás áreas en las que las actividades agropecuarias están excluidas por mandato de la Ley</w:t>
            </w:r>
            <w:r w:rsidRPr="008F3AB1">
              <w:rPr>
                <w:rFonts w:cs="Arial"/>
                <w:sz w:val="20"/>
                <w:szCs w:val="20"/>
              </w:rPr>
              <w:t xml:space="preserve"> (art 1). </w:t>
            </w:r>
          </w:p>
          <w:p w14:paraId="1EAF07A6"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Adicionalmente plantea como objetivos de la Frontera Agrícola Nacional, contribuir a la formulación y focalización de la gestión de la política pública del sector agropecuario, pesquero y de desarrollo rural, junto con la promoción del uso eficiente del suelo rural agropecuario, el ordenamiento productivo y social de la propiedad rural, el fortalecimiento de la productividad y competitividad de las actividades agropecuarias y contribuir a estabilizar y disminuir la pérdida de ecosistemas de importancia ambiental. (Artículo 4)</w:t>
            </w:r>
          </w:p>
          <w:p w14:paraId="5761E356" w14:textId="387881F4" w:rsidR="00827A41" w:rsidRPr="008F3AB1" w:rsidRDefault="00827A41" w:rsidP="00FB012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Define las condiciones para su definición, pero ratifica el respeto por las determinantes ambientales al interior de la frontera agrícola, al igual que el uso del mapa de IDEAM de bosque y no bosque a partir de 2010, como herramienta para identificar la frontera agrícola nacional.  </w:t>
            </w:r>
          </w:p>
        </w:tc>
      </w:tr>
      <w:tr w:rsidR="00827A41" w:rsidRPr="008F3AB1" w14:paraId="4AD46833" w14:textId="77777777" w:rsidTr="00E2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035156A6" w14:textId="77777777" w:rsidR="00827A41" w:rsidRPr="008F3AB1" w:rsidRDefault="00827A41" w:rsidP="00E24C10">
            <w:pPr>
              <w:rPr>
                <w:rFonts w:cs="Arial"/>
                <w:sz w:val="20"/>
                <w:szCs w:val="20"/>
              </w:rPr>
            </w:pPr>
            <w:r w:rsidRPr="008F3AB1">
              <w:rPr>
                <w:rFonts w:cs="Arial"/>
                <w:sz w:val="20"/>
                <w:szCs w:val="20"/>
              </w:rPr>
              <w:t>Producción sostenible</w:t>
            </w:r>
          </w:p>
        </w:tc>
        <w:tc>
          <w:tcPr>
            <w:tcW w:w="1845" w:type="dxa"/>
            <w:hideMark/>
          </w:tcPr>
          <w:p w14:paraId="6275D66D"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Resolución ICA 824 de 2022.</w:t>
            </w:r>
          </w:p>
          <w:p w14:paraId="5DAFEF50"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i/>
                <w:sz w:val="20"/>
                <w:szCs w:val="20"/>
              </w:rPr>
              <w:t>“Por la cual se establecen los requisitos para el registro ante el ICA de los lugares de producción, exportadores y empacadoras de vegetales para la exportación en fresco”</w:t>
            </w:r>
            <w:sdt>
              <w:sdtPr>
                <w:rPr>
                  <w:rFonts w:cs="Arial"/>
                  <w:sz w:val="20"/>
                  <w:szCs w:val="20"/>
                </w:rPr>
                <w:id w:val="1505933002"/>
                <w:citation/>
              </w:sdtPr>
              <w:sdtContent>
                <w:r w:rsidRPr="008F3AB1">
                  <w:rPr>
                    <w:rFonts w:cs="Arial"/>
                    <w:sz w:val="20"/>
                    <w:szCs w:val="20"/>
                  </w:rPr>
                  <w:fldChar w:fldCharType="begin"/>
                </w:r>
                <w:r w:rsidRPr="008F3AB1">
                  <w:rPr>
                    <w:rFonts w:cs="Arial"/>
                    <w:sz w:val="20"/>
                    <w:szCs w:val="20"/>
                  </w:rPr>
                  <w:instrText xml:space="preserve"> CITATION Ins22 \l 9226 </w:instrText>
                </w:r>
                <w:r w:rsidRPr="008F3AB1">
                  <w:rPr>
                    <w:rFonts w:cs="Arial"/>
                    <w:sz w:val="20"/>
                    <w:szCs w:val="20"/>
                  </w:rPr>
                  <w:fldChar w:fldCharType="separate"/>
                </w:r>
                <w:r w:rsidRPr="008F3AB1">
                  <w:rPr>
                    <w:rFonts w:cs="Arial"/>
                    <w:noProof/>
                    <w:sz w:val="20"/>
                    <w:szCs w:val="20"/>
                  </w:rPr>
                  <w:t xml:space="preserve"> (Instituto Colombiano Agropecuario - ICA, 2022)</w:t>
                </w:r>
                <w:r w:rsidRPr="008F3AB1">
                  <w:rPr>
                    <w:rFonts w:cs="Arial"/>
                    <w:sz w:val="20"/>
                    <w:szCs w:val="20"/>
                  </w:rPr>
                  <w:fldChar w:fldCharType="end"/>
                </w:r>
              </w:sdtContent>
            </w:sdt>
          </w:p>
          <w:p w14:paraId="417CA721"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w:t>
            </w:r>
          </w:p>
        </w:tc>
        <w:tc>
          <w:tcPr>
            <w:tcW w:w="5527" w:type="dxa"/>
            <w:hideMark/>
          </w:tcPr>
          <w:p w14:paraId="6624795F"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La Resolución establece los requisitos para hacer el registro de los predios para producción de vegetales para exportación, exportación y empacadores.</w:t>
            </w:r>
          </w:p>
          <w:p w14:paraId="65B66D9C"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Se destaca la necesidad del cumplimiento de todos los requisitos y la posibilidad de perder el registro por incumplimiento de los requisitos o por procesos sancionatorios. En materia ambiental se resalta el cumplimiento del límite máximo de residuos y verificar la calidad del agua utilizada en el cultivo, al igual que el establecimiento de infraestructura para el almacenamiento adecuado de insumos agrícolas, áreas de dosificación y preparación de mezclas de plaguicidas, área de disposición de residuos de plaguicidas, uso de plaguicidas registrados, calibración/verificación de equipos de aplicación y la asistencia técnica permanente.</w:t>
            </w:r>
          </w:p>
          <w:p w14:paraId="6A0E8A16" w14:textId="189BD826" w:rsidR="00827A41" w:rsidRPr="008F3AB1" w:rsidRDefault="00827A41" w:rsidP="00FB012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Adicionalmente, se hace énfasis en contar con análisis microbiológicos para el agua utilizada en la producción, bajo los parámetros del Decreto 1076 de 2015 (compilatorio del sector ambiente)</w:t>
            </w:r>
          </w:p>
        </w:tc>
      </w:tr>
      <w:tr w:rsidR="00827A41" w:rsidRPr="008F3AB1" w14:paraId="09218AAD" w14:textId="77777777" w:rsidTr="00E24C10">
        <w:tc>
          <w:tcPr>
            <w:cnfStyle w:val="001000000000" w:firstRow="0" w:lastRow="0" w:firstColumn="1" w:lastColumn="0" w:oddVBand="0" w:evenVBand="0" w:oddHBand="0" w:evenHBand="0" w:firstRowFirstColumn="0" w:firstRowLastColumn="0" w:lastRowFirstColumn="0" w:lastRowLastColumn="0"/>
            <w:tcW w:w="1984" w:type="dxa"/>
          </w:tcPr>
          <w:p w14:paraId="51AE502E" w14:textId="77777777" w:rsidR="00827A41" w:rsidRPr="008F3AB1" w:rsidRDefault="00827A41" w:rsidP="00E24C10">
            <w:pPr>
              <w:rPr>
                <w:rFonts w:cs="Arial"/>
                <w:sz w:val="20"/>
                <w:szCs w:val="20"/>
              </w:rPr>
            </w:pPr>
            <w:r w:rsidRPr="008F3AB1">
              <w:rPr>
                <w:rFonts w:cs="Arial"/>
                <w:sz w:val="20"/>
                <w:szCs w:val="20"/>
              </w:rPr>
              <w:t>Producción sostenible</w:t>
            </w:r>
          </w:p>
        </w:tc>
        <w:tc>
          <w:tcPr>
            <w:tcW w:w="1845" w:type="dxa"/>
            <w:hideMark/>
          </w:tcPr>
          <w:p w14:paraId="2746E4E1"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2D151600"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Resolución ICA 30021 de 2017</w:t>
            </w:r>
            <w:r w:rsidRPr="008F3AB1">
              <w:rPr>
                <w:rFonts w:cs="Arial"/>
              </w:rPr>
              <w:t xml:space="preserve"> “</w:t>
            </w:r>
            <w:r w:rsidRPr="008F3AB1">
              <w:rPr>
                <w:rFonts w:cs="Arial"/>
                <w:i/>
                <w:sz w:val="20"/>
                <w:szCs w:val="20"/>
              </w:rPr>
              <w:t xml:space="preserve">Por medio de la cual se establecen los requisitos para la Certificación en </w:t>
            </w:r>
            <w:r w:rsidRPr="008F3AB1">
              <w:rPr>
                <w:rFonts w:cs="Arial"/>
                <w:i/>
                <w:sz w:val="20"/>
                <w:szCs w:val="20"/>
              </w:rPr>
              <w:lastRenderedPageBreak/>
              <w:t>Buenas Prácticas Agrícolas en producción primaria de vegetales y otras especies para consumo humano”</w:t>
            </w:r>
            <w:r w:rsidRPr="008F3AB1">
              <w:rPr>
                <w:rFonts w:cs="Arial"/>
                <w:sz w:val="20"/>
                <w:szCs w:val="20"/>
              </w:rPr>
              <w:t xml:space="preserve">, modificada por la Resolución 82394 de 2020 </w:t>
            </w:r>
            <w:r w:rsidRPr="008F3AB1">
              <w:rPr>
                <w:rFonts w:cs="Arial"/>
                <w:i/>
                <w:sz w:val="20"/>
                <w:szCs w:val="20"/>
              </w:rPr>
              <w:t>“Por medio de la cual se Modifica los artículos 2, 3, 4, 12, y 14 de la Resolución 30021 de 2017”</w:t>
            </w:r>
            <w:r w:rsidRPr="008F3AB1">
              <w:rPr>
                <w:rFonts w:cs="Arial"/>
                <w:sz w:val="20"/>
                <w:szCs w:val="20"/>
              </w:rPr>
              <w:t xml:space="preserve"> </w:t>
            </w:r>
          </w:p>
        </w:tc>
        <w:tc>
          <w:tcPr>
            <w:tcW w:w="5527" w:type="dxa"/>
            <w:hideMark/>
          </w:tcPr>
          <w:p w14:paraId="1CF9C8C8"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 xml:space="preserve">La Resolución establece los requisitos y el trámite para obtener la certificación en buenas prácticas agrícolas. </w:t>
            </w:r>
          </w:p>
          <w:p w14:paraId="35985EC6" w14:textId="77777777" w:rsidR="00827A41" w:rsidRPr="008F3AB1" w:rsidRDefault="00827A41" w:rsidP="005306CE">
            <w:pPr>
              <w:pStyle w:val="Prrafodelista"/>
              <w:widowControl/>
              <w:numPr>
                <w:ilvl w:val="0"/>
                <w:numId w:val="34"/>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8F3AB1">
              <w:rPr>
                <w:sz w:val="20"/>
                <w:szCs w:val="20"/>
                <w:lang w:val="es-MX"/>
              </w:rPr>
              <w:t xml:space="preserve">En materia ambiental establece la obligatoriedad de contar con la concesión de aguas para el uso agropecuario y cumplir con el volumen permitido, de acuerdo con el Decreto 1076 de 2015 y </w:t>
            </w:r>
            <w:r w:rsidRPr="008F3AB1">
              <w:rPr>
                <w:sz w:val="20"/>
                <w:szCs w:val="20"/>
                <w:lang w:val="es-MX"/>
              </w:rPr>
              <w:lastRenderedPageBreak/>
              <w:t>adicionalmente, realiza recomendaciones asociadas el tema ambiental, que corresponden a:</w:t>
            </w:r>
          </w:p>
          <w:p w14:paraId="31789BA9" w14:textId="77777777" w:rsidR="00827A41" w:rsidRPr="008F3AB1" w:rsidRDefault="00827A41" w:rsidP="00E24C10">
            <w:pPr>
              <w:pStyle w:val="Prrafodelista"/>
              <w:cnfStyle w:val="000000000000" w:firstRow="0" w:lastRow="0" w:firstColumn="0" w:lastColumn="0" w:oddVBand="0" w:evenVBand="0" w:oddHBand="0" w:evenHBand="0" w:firstRowFirstColumn="0" w:firstRowLastColumn="0" w:lastRowFirstColumn="0" w:lastRowLastColumn="0"/>
              <w:rPr>
                <w:sz w:val="20"/>
                <w:szCs w:val="20"/>
                <w:lang w:val="es-MX"/>
              </w:rPr>
            </w:pPr>
          </w:p>
          <w:p w14:paraId="7AF8720A" w14:textId="77777777" w:rsidR="00827A41" w:rsidRPr="008F3AB1" w:rsidRDefault="00827A41" w:rsidP="005306CE">
            <w:pPr>
              <w:pStyle w:val="Prrafodelista"/>
              <w:widowControl/>
              <w:numPr>
                <w:ilvl w:val="0"/>
                <w:numId w:val="34"/>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8F3AB1">
              <w:rPr>
                <w:sz w:val="20"/>
                <w:szCs w:val="20"/>
                <w:lang w:val="es-MX"/>
              </w:rPr>
              <w:t>Identificación de fuentes de agua y definición de acciones para su protección.</w:t>
            </w:r>
          </w:p>
          <w:p w14:paraId="283BED0F" w14:textId="77777777" w:rsidR="00827A41" w:rsidRPr="008F3AB1" w:rsidRDefault="00827A41" w:rsidP="005306CE">
            <w:pPr>
              <w:pStyle w:val="Prrafodelista"/>
              <w:widowControl/>
              <w:numPr>
                <w:ilvl w:val="0"/>
                <w:numId w:val="34"/>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rPr>
            </w:pPr>
            <w:r w:rsidRPr="008F3AB1">
              <w:rPr>
                <w:sz w:val="20"/>
                <w:szCs w:val="20"/>
              </w:rPr>
              <w:t>Contar con los permisos.</w:t>
            </w:r>
          </w:p>
          <w:p w14:paraId="1E022301" w14:textId="77777777" w:rsidR="00827A41" w:rsidRPr="008F3AB1" w:rsidRDefault="00827A41" w:rsidP="005306CE">
            <w:pPr>
              <w:pStyle w:val="Prrafodelista"/>
              <w:widowControl/>
              <w:numPr>
                <w:ilvl w:val="0"/>
                <w:numId w:val="34"/>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8F3AB1">
              <w:rPr>
                <w:sz w:val="20"/>
                <w:szCs w:val="20"/>
                <w:lang w:val="es-MX"/>
              </w:rPr>
              <w:t>Implementar medidas para el ahorro y uso eficiente del agua.</w:t>
            </w:r>
          </w:p>
          <w:p w14:paraId="5305ACF0" w14:textId="77777777" w:rsidR="00827A41" w:rsidRPr="008F3AB1" w:rsidRDefault="00827A41" w:rsidP="005306CE">
            <w:pPr>
              <w:pStyle w:val="Prrafodelista"/>
              <w:widowControl/>
              <w:numPr>
                <w:ilvl w:val="0"/>
                <w:numId w:val="34"/>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8F3AB1">
              <w:rPr>
                <w:sz w:val="20"/>
                <w:szCs w:val="20"/>
                <w:lang w:val="es-MX"/>
              </w:rPr>
              <w:t>Evaluación de las características y recursos del predio que puedan afectar la productividad y calidad de los productos.</w:t>
            </w:r>
          </w:p>
          <w:p w14:paraId="1BC84948" w14:textId="77777777" w:rsidR="00827A41" w:rsidRPr="008F3AB1" w:rsidRDefault="00827A41" w:rsidP="005306CE">
            <w:pPr>
              <w:pStyle w:val="Prrafodelista"/>
              <w:widowControl/>
              <w:numPr>
                <w:ilvl w:val="0"/>
                <w:numId w:val="34"/>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8F3AB1">
              <w:rPr>
                <w:sz w:val="20"/>
                <w:szCs w:val="20"/>
                <w:lang w:val="es-MX"/>
              </w:rPr>
              <w:t>Manejo para los envases contenedores de agroquímicos utilizados y otros residuos sólidos y líquidos</w:t>
            </w:r>
          </w:p>
          <w:p w14:paraId="6DB01DAE" w14:textId="77777777" w:rsidR="00827A41" w:rsidRPr="008F3AB1" w:rsidRDefault="00827A41" w:rsidP="005306CE">
            <w:pPr>
              <w:pStyle w:val="Prrafodelista"/>
              <w:widowControl/>
              <w:numPr>
                <w:ilvl w:val="0"/>
                <w:numId w:val="34"/>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8F3AB1">
              <w:rPr>
                <w:sz w:val="20"/>
                <w:szCs w:val="20"/>
                <w:lang w:val="es-MX"/>
              </w:rPr>
              <w:t>Manejo y protección de suelos.</w:t>
            </w:r>
          </w:p>
          <w:p w14:paraId="186F83D7" w14:textId="77777777" w:rsidR="00827A41" w:rsidRPr="008F3AB1" w:rsidRDefault="00827A41" w:rsidP="005306CE">
            <w:pPr>
              <w:pStyle w:val="Prrafodelista"/>
              <w:widowControl/>
              <w:numPr>
                <w:ilvl w:val="0"/>
                <w:numId w:val="34"/>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8F3AB1">
              <w:rPr>
                <w:sz w:val="20"/>
                <w:szCs w:val="20"/>
                <w:lang w:val="es-MX"/>
              </w:rPr>
              <w:t>Protección de insectos benéficos y polinizadores.</w:t>
            </w:r>
          </w:p>
        </w:tc>
      </w:tr>
      <w:tr w:rsidR="00827A41" w:rsidRPr="008F3AB1" w14:paraId="61F61D84" w14:textId="77777777" w:rsidTr="00FB0127">
        <w:trPr>
          <w:cnfStyle w:val="000000100000" w:firstRow="0" w:lastRow="0" w:firstColumn="0" w:lastColumn="0" w:oddVBand="0" w:evenVBand="0" w:oddHBand="1" w:evenHBand="0" w:firstRowFirstColumn="0" w:firstRowLastColumn="0" w:lastRowFirstColumn="0" w:lastRowLastColumn="0"/>
          <w:trHeight w:val="1692"/>
        </w:trPr>
        <w:tc>
          <w:tcPr>
            <w:cnfStyle w:val="001000000000" w:firstRow="0" w:lastRow="0" w:firstColumn="1" w:lastColumn="0" w:oddVBand="0" w:evenVBand="0" w:oddHBand="0" w:evenHBand="0" w:firstRowFirstColumn="0" w:firstRowLastColumn="0" w:lastRowFirstColumn="0" w:lastRowLastColumn="0"/>
            <w:tcW w:w="1984" w:type="dxa"/>
          </w:tcPr>
          <w:p w14:paraId="01957AEC" w14:textId="77777777" w:rsidR="00827A41" w:rsidRPr="008F3AB1" w:rsidRDefault="00827A41" w:rsidP="00E24C10">
            <w:pPr>
              <w:rPr>
                <w:rFonts w:cs="Arial"/>
                <w:sz w:val="20"/>
                <w:szCs w:val="20"/>
              </w:rPr>
            </w:pPr>
            <w:r w:rsidRPr="008F3AB1">
              <w:rPr>
                <w:rFonts w:cs="Arial"/>
                <w:sz w:val="20"/>
                <w:szCs w:val="20"/>
              </w:rPr>
              <w:lastRenderedPageBreak/>
              <w:t>Gestión del recurso suelo</w:t>
            </w:r>
          </w:p>
        </w:tc>
        <w:tc>
          <w:tcPr>
            <w:tcW w:w="1845" w:type="dxa"/>
          </w:tcPr>
          <w:p w14:paraId="5E996412"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Política para la gestión sostenible del suelo </w:t>
            </w:r>
            <w:sdt>
              <w:sdtPr>
                <w:rPr>
                  <w:rFonts w:cs="Arial"/>
                  <w:sz w:val="20"/>
                  <w:szCs w:val="20"/>
                </w:rPr>
                <w:id w:val="-1499035638"/>
                <w:citation/>
              </w:sdtPr>
              <w:sdtContent>
                <w:r w:rsidRPr="008F3AB1">
                  <w:rPr>
                    <w:rFonts w:cs="Arial"/>
                    <w:sz w:val="20"/>
                    <w:szCs w:val="20"/>
                  </w:rPr>
                  <w:fldChar w:fldCharType="begin"/>
                </w:r>
                <w:r w:rsidRPr="008F3AB1">
                  <w:rPr>
                    <w:rFonts w:cs="Arial"/>
                    <w:sz w:val="20"/>
                    <w:szCs w:val="20"/>
                  </w:rPr>
                  <w:instrText xml:space="preserve">CITATION Min161 \l 1033 </w:instrText>
                </w:r>
                <w:r w:rsidRPr="008F3AB1">
                  <w:rPr>
                    <w:rFonts w:cs="Arial"/>
                    <w:sz w:val="20"/>
                    <w:szCs w:val="20"/>
                  </w:rPr>
                  <w:fldChar w:fldCharType="separate"/>
                </w:r>
                <w:r w:rsidRPr="008F3AB1">
                  <w:rPr>
                    <w:rFonts w:cs="Arial"/>
                    <w:noProof/>
                    <w:sz w:val="20"/>
                    <w:szCs w:val="20"/>
                  </w:rPr>
                  <w:t>(Ministerio de Ambiente y Desarrollo Sostenible, 2016)</w:t>
                </w:r>
                <w:r w:rsidRPr="008F3AB1">
                  <w:rPr>
                    <w:rFonts w:cs="Arial"/>
                    <w:sz w:val="20"/>
                    <w:szCs w:val="20"/>
                  </w:rPr>
                  <w:fldChar w:fldCharType="end"/>
                </w:r>
              </w:sdtContent>
            </w:sdt>
          </w:p>
        </w:tc>
        <w:tc>
          <w:tcPr>
            <w:tcW w:w="5527" w:type="dxa"/>
          </w:tcPr>
          <w:p w14:paraId="3DA0EECE"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Busca promover el manejo sostenible del suelo en Colombia, en un contexto en el que confluyan la conservación de la biodiversidad, el agua y el aire, el ordenamiento del territorio y la gestión de riesgo, contribuyendo al desarrollo sostenible y al bienestar de los colombianos.</w:t>
            </w:r>
          </w:p>
        </w:tc>
      </w:tr>
      <w:tr w:rsidR="00827A41" w:rsidRPr="008F3AB1" w14:paraId="3BA85D97" w14:textId="77777777" w:rsidTr="00E24C10">
        <w:trPr>
          <w:trHeight w:val="2530"/>
        </w:trPr>
        <w:tc>
          <w:tcPr>
            <w:cnfStyle w:val="001000000000" w:firstRow="0" w:lastRow="0" w:firstColumn="1" w:lastColumn="0" w:oddVBand="0" w:evenVBand="0" w:oddHBand="0" w:evenHBand="0" w:firstRowFirstColumn="0" w:firstRowLastColumn="0" w:lastRowFirstColumn="0" w:lastRowLastColumn="0"/>
            <w:tcW w:w="1984" w:type="dxa"/>
          </w:tcPr>
          <w:p w14:paraId="39D73223" w14:textId="77777777" w:rsidR="00827A41" w:rsidRPr="008F3AB1" w:rsidRDefault="00827A41" w:rsidP="00E24C10">
            <w:pPr>
              <w:rPr>
                <w:rFonts w:cs="Arial"/>
                <w:sz w:val="20"/>
                <w:szCs w:val="20"/>
              </w:rPr>
            </w:pPr>
            <w:r w:rsidRPr="008F3AB1">
              <w:rPr>
                <w:rFonts w:cs="Arial"/>
                <w:sz w:val="20"/>
                <w:szCs w:val="20"/>
              </w:rPr>
              <w:t>Gestión del recurso hídrico</w:t>
            </w:r>
          </w:p>
        </w:tc>
        <w:tc>
          <w:tcPr>
            <w:tcW w:w="1845" w:type="dxa"/>
          </w:tcPr>
          <w:p w14:paraId="0FAB32BF"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Política nacional para la gestión integral del recurso hídrico </w:t>
            </w:r>
            <w:sdt>
              <w:sdtPr>
                <w:rPr>
                  <w:rFonts w:cs="Arial"/>
                  <w:sz w:val="20"/>
                  <w:szCs w:val="20"/>
                </w:rPr>
                <w:id w:val="2027516865"/>
                <w:citation/>
              </w:sdtPr>
              <w:sdtContent>
                <w:r w:rsidRPr="008F3AB1">
                  <w:rPr>
                    <w:rFonts w:cs="Arial"/>
                    <w:sz w:val="20"/>
                    <w:szCs w:val="20"/>
                  </w:rPr>
                  <w:fldChar w:fldCharType="begin"/>
                </w:r>
                <w:r w:rsidRPr="008F3AB1">
                  <w:rPr>
                    <w:rFonts w:cs="Arial"/>
                    <w:sz w:val="20"/>
                    <w:szCs w:val="20"/>
                  </w:rPr>
                  <w:instrText xml:space="preserve"> CITATION Min10 \l 1033 </w:instrText>
                </w:r>
                <w:r w:rsidRPr="008F3AB1">
                  <w:rPr>
                    <w:rFonts w:cs="Arial"/>
                    <w:sz w:val="20"/>
                    <w:szCs w:val="20"/>
                  </w:rPr>
                  <w:fldChar w:fldCharType="separate"/>
                </w:r>
                <w:r w:rsidRPr="008F3AB1">
                  <w:rPr>
                    <w:rFonts w:cs="Arial"/>
                    <w:noProof/>
                    <w:sz w:val="20"/>
                    <w:szCs w:val="20"/>
                  </w:rPr>
                  <w:t>(Ministerio de Ambiente y Desarrollo Sostenible, 2010)</w:t>
                </w:r>
                <w:r w:rsidRPr="008F3AB1">
                  <w:rPr>
                    <w:rFonts w:cs="Arial"/>
                    <w:sz w:val="20"/>
                    <w:szCs w:val="20"/>
                  </w:rPr>
                  <w:fldChar w:fldCharType="end"/>
                </w:r>
              </w:sdtContent>
            </w:sdt>
          </w:p>
        </w:tc>
        <w:tc>
          <w:tcPr>
            <w:tcW w:w="5527" w:type="dxa"/>
          </w:tcPr>
          <w:p w14:paraId="35C68E8C" w14:textId="77777777" w:rsidR="00827A41" w:rsidRPr="008F3AB1" w:rsidRDefault="00827A41" w:rsidP="00E24C10">
            <w:pPr>
              <w:pStyle w:val="NormalWeb"/>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F3AB1">
              <w:rPr>
                <w:rFonts w:ascii="Arial" w:hAnsi="Arial" w:cs="Arial"/>
                <w:sz w:val="20"/>
                <w:szCs w:val="20"/>
              </w:rPr>
              <w:t>Establece los objetivos, estrategias, metas, indicadores y líneas de acción estratégica para el manejo del recurso hídrico en el país.</w:t>
            </w:r>
          </w:p>
          <w:p w14:paraId="1D575D70"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Tiene por objetivo principal, garantizar la sostenibilidad del recurso hídrico, mediante una gestión y un uso eficiente y eficaz, articulados al ordenamiento y uso del territorio y a la conservación de los ecosistemas que regulan la oferta hídrica, considerando el agua como factor de desarrollo económico y de bienestar social, e implementando procesos </w:t>
            </w:r>
          </w:p>
        </w:tc>
      </w:tr>
      <w:tr w:rsidR="00827A41" w:rsidRPr="008F3AB1" w14:paraId="239AEE48" w14:textId="77777777" w:rsidTr="00E24C10">
        <w:trPr>
          <w:cnfStyle w:val="000000100000" w:firstRow="0" w:lastRow="0" w:firstColumn="0" w:lastColumn="0" w:oddVBand="0" w:evenVBand="0" w:oddHBand="1" w:evenHBand="0" w:firstRowFirstColumn="0" w:firstRowLastColumn="0" w:lastRowFirstColumn="0" w:lastRowLastColumn="0"/>
          <w:trHeight w:val="2100"/>
        </w:trPr>
        <w:tc>
          <w:tcPr>
            <w:cnfStyle w:val="001000000000" w:firstRow="0" w:lastRow="0" w:firstColumn="1" w:lastColumn="0" w:oddVBand="0" w:evenVBand="0" w:oddHBand="0" w:evenHBand="0" w:firstRowFirstColumn="0" w:firstRowLastColumn="0" w:lastRowFirstColumn="0" w:lastRowLastColumn="0"/>
            <w:tcW w:w="1984" w:type="dxa"/>
            <w:vMerge w:val="restart"/>
          </w:tcPr>
          <w:p w14:paraId="451B43C5" w14:textId="77777777" w:rsidR="00827A41" w:rsidRPr="008F3AB1" w:rsidRDefault="00827A41" w:rsidP="00E24C10">
            <w:pPr>
              <w:rPr>
                <w:rFonts w:cs="Arial"/>
                <w:sz w:val="20"/>
                <w:szCs w:val="20"/>
              </w:rPr>
            </w:pPr>
            <w:r w:rsidRPr="008F3AB1">
              <w:rPr>
                <w:rFonts w:cs="Arial"/>
                <w:sz w:val="20"/>
                <w:szCs w:val="20"/>
              </w:rPr>
              <w:t>Participación y gestión de conflictos socioambientales</w:t>
            </w:r>
          </w:p>
        </w:tc>
        <w:tc>
          <w:tcPr>
            <w:tcW w:w="1845" w:type="dxa"/>
          </w:tcPr>
          <w:p w14:paraId="4203B535" w14:textId="77777777" w:rsidR="00827A41" w:rsidRPr="008F3AB1" w:rsidRDefault="00827A41" w:rsidP="00E24C10">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Constitución Política de Colombia</w:t>
            </w:r>
          </w:p>
        </w:tc>
        <w:tc>
          <w:tcPr>
            <w:tcW w:w="5527" w:type="dxa"/>
          </w:tcPr>
          <w:p w14:paraId="234B8786" w14:textId="77777777" w:rsidR="00827A41" w:rsidRPr="008F3AB1" w:rsidRDefault="00827A41" w:rsidP="00E24C10">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En el artículo 79 indica que se busca garantizar a los ciudadanos la posibilidad de ser partícipes de las decisiones que puedan afectar su derecho a un medio ambiente sano, para lo cual se han desarrollado distintos mecanismos como las audiencias públicas ambientales, la consulta previa con grupos étnicos, las veedurías ciudadanas en asuntos ambientales, la participación en los procesos de planificación ambiental, el derecho de petición, la acción de tutela.</w:t>
            </w:r>
          </w:p>
        </w:tc>
      </w:tr>
      <w:tr w:rsidR="00827A41" w:rsidRPr="008F3AB1" w14:paraId="53EEBA77" w14:textId="77777777" w:rsidTr="00E24C10">
        <w:trPr>
          <w:trHeight w:val="985"/>
        </w:trPr>
        <w:tc>
          <w:tcPr>
            <w:cnfStyle w:val="001000000000" w:firstRow="0" w:lastRow="0" w:firstColumn="1" w:lastColumn="0" w:oddVBand="0" w:evenVBand="0" w:oddHBand="0" w:evenHBand="0" w:firstRowFirstColumn="0" w:firstRowLastColumn="0" w:lastRowFirstColumn="0" w:lastRowLastColumn="0"/>
            <w:tcW w:w="1984" w:type="dxa"/>
            <w:vMerge/>
          </w:tcPr>
          <w:p w14:paraId="09B40864" w14:textId="77777777" w:rsidR="00827A41" w:rsidRPr="008F3AB1" w:rsidRDefault="00827A41" w:rsidP="00E24C10">
            <w:pPr>
              <w:rPr>
                <w:rFonts w:cs="Arial"/>
                <w:sz w:val="20"/>
                <w:szCs w:val="20"/>
              </w:rPr>
            </w:pPr>
          </w:p>
        </w:tc>
        <w:tc>
          <w:tcPr>
            <w:tcW w:w="1845" w:type="dxa"/>
          </w:tcPr>
          <w:p w14:paraId="5AB29BB3" w14:textId="77777777" w:rsidR="00827A41" w:rsidRPr="008F3AB1" w:rsidRDefault="00827A41" w:rsidP="00E24C10">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w:t>
            </w:r>
          </w:p>
          <w:p w14:paraId="110C04C9" w14:textId="77777777" w:rsidR="00827A41" w:rsidRPr="008F3AB1" w:rsidRDefault="00827A41" w:rsidP="00E24C10">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p>
          <w:p w14:paraId="152055EF" w14:textId="77777777" w:rsidR="00827A41" w:rsidRPr="008F3AB1" w:rsidRDefault="00827A41" w:rsidP="00E24C10">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 xml:space="preserve">Ley 1712 de 2014 </w:t>
            </w:r>
            <w:r w:rsidRPr="008F3AB1">
              <w:rPr>
                <w:rFonts w:cs="Arial"/>
                <w:i/>
                <w:sz w:val="20"/>
                <w:szCs w:val="20"/>
              </w:rPr>
              <w:t xml:space="preserve">“Por medio del </w:t>
            </w:r>
            <w:r w:rsidRPr="008F3AB1">
              <w:rPr>
                <w:rFonts w:cs="Arial"/>
                <w:i/>
                <w:sz w:val="20"/>
                <w:szCs w:val="20"/>
              </w:rPr>
              <w:lastRenderedPageBreak/>
              <w:t>cual se crea la ley de transparencia y del derecho de acceso a la información pública nacional</w:t>
            </w:r>
            <w:r w:rsidRPr="008F3AB1">
              <w:rPr>
                <w:rFonts w:cs="Arial"/>
                <w:sz w:val="20"/>
                <w:szCs w:val="20"/>
              </w:rPr>
              <w:t>”  </w:t>
            </w:r>
          </w:p>
          <w:p w14:paraId="148D6D2C" w14:textId="77777777" w:rsidR="00827A41" w:rsidRPr="008F3AB1" w:rsidRDefault="00827A41" w:rsidP="00E24C10">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tcPr>
          <w:p w14:paraId="10A1DF12" w14:textId="77777777" w:rsidR="00827A41" w:rsidRPr="008F3AB1" w:rsidRDefault="00827A41" w:rsidP="00E24C10">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 xml:space="preserve">El artículo 4 de la ley, en ejercicio del derecho fundamental de acceso a la información, toda persona puede conocer sobre la existencia y acceder a la información pública en posesión o bajo control de los sujetos obligados. El acceso a la información solamente podrá ser restringido excepcionalmente. Las excepciones serán limitadas y </w:t>
            </w:r>
            <w:r w:rsidRPr="008F3AB1">
              <w:rPr>
                <w:rFonts w:cs="Arial"/>
                <w:sz w:val="20"/>
                <w:szCs w:val="20"/>
              </w:rPr>
              <w:lastRenderedPageBreak/>
              <w:t>proporcionales, deberán estar contempladas en la ley o en la Constitución y ser acordes con los principios de una sociedad democrática.</w:t>
            </w:r>
          </w:p>
          <w:p w14:paraId="0B9E534F" w14:textId="6331649B" w:rsidR="00827A41" w:rsidRPr="008F3AB1" w:rsidRDefault="00827A41" w:rsidP="00FB012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El artículo 4 también indica que el derecho de acceso a la información genera la obligación correlativa de divulgar proactivamente la información pública y responder de buena fe, de manera adecuada, veraz, oportuna y accesible a las solicitudes de acceso, lo que a su vez conlleva la obligación de producir o capturar la información pública. Para cumplir lo anterior los sujetos obligados deberán implementar procedimientos archivísticos que garanticen la disponibilidad en el tiempo de documentos electrónicos auténticos. </w:t>
            </w:r>
          </w:p>
        </w:tc>
      </w:tr>
      <w:tr w:rsidR="00827A41" w:rsidRPr="008F3AB1" w14:paraId="46917010" w14:textId="77777777" w:rsidTr="00E24C10">
        <w:trPr>
          <w:cnfStyle w:val="000000100000" w:firstRow="0" w:lastRow="0" w:firstColumn="0" w:lastColumn="0" w:oddVBand="0" w:evenVBand="0" w:oddHBand="1" w:evenHBand="0" w:firstRowFirstColumn="0" w:firstRowLastColumn="0" w:lastRowFirstColumn="0" w:lastRowLastColumn="0"/>
          <w:trHeight w:val="3369"/>
        </w:trPr>
        <w:tc>
          <w:tcPr>
            <w:cnfStyle w:val="001000000000" w:firstRow="0" w:lastRow="0" w:firstColumn="1" w:lastColumn="0" w:oddVBand="0" w:evenVBand="0" w:oddHBand="0" w:evenHBand="0" w:firstRowFirstColumn="0" w:firstRowLastColumn="0" w:lastRowFirstColumn="0" w:lastRowLastColumn="0"/>
            <w:tcW w:w="1984" w:type="dxa"/>
            <w:vMerge/>
          </w:tcPr>
          <w:p w14:paraId="08744CFD" w14:textId="77777777" w:rsidR="00827A41" w:rsidRPr="008F3AB1" w:rsidRDefault="00827A41" w:rsidP="00E24C10">
            <w:pPr>
              <w:rPr>
                <w:rFonts w:cs="Arial"/>
                <w:sz w:val="20"/>
                <w:szCs w:val="20"/>
              </w:rPr>
            </w:pPr>
          </w:p>
        </w:tc>
        <w:tc>
          <w:tcPr>
            <w:tcW w:w="1845" w:type="dxa"/>
          </w:tcPr>
          <w:p w14:paraId="70BA2CA5" w14:textId="77777777" w:rsidR="00827A41" w:rsidRPr="008F3AB1" w:rsidRDefault="00827A41" w:rsidP="00E24C10">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Ley 23 de 1973 </w:t>
            </w:r>
            <w:r w:rsidRPr="008F3AB1">
              <w:rPr>
                <w:rFonts w:cs="Arial"/>
                <w:i/>
                <w:sz w:val="20"/>
                <w:szCs w:val="20"/>
              </w:rPr>
              <w:t>“Por la cual se conceden facultades extraordinarias al presidente de la República para expedir el Código de Recursos Naturales y protección al medio ambiente y se dictan otras disposiciones”</w:t>
            </w:r>
          </w:p>
        </w:tc>
        <w:tc>
          <w:tcPr>
            <w:tcW w:w="5527" w:type="dxa"/>
          </w:tcPr>
          <w:p w14:paraId="314FB2A0" w14:textId="77777777" w:rsidR="00827A41" w:rsidRPr="008F3AB1" w:rsidRDefault="00827A41" w:rsidP="00E24C10">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Señala que al ser el medio ambiente un patrimonio común, su mejoramiento y conservación son actividades de las que deben participar el Estado y los particulares. El manejo sostenible de los recursos naturales en los cultivos de aguacate, permite garantizar el bienestar de los habitantes, previniendo la contaminación o agotamiento del recurso hídrico, en lo cual las autoridades ambientales territoriales como administradoras de los recursos naturales cuenta con un rol fundamental para garantizar el acceso al agua en consumo humano, prevenir la contaminación y promover el ahorro y uso eficiente del agua.</w:t>
            </w:r>
          </w:p>
          <w:p w14:paraId="59846131" w14:textId="77777777" w:rsidR="00827A41" w:rsidRPr="008F3AB1" w:rsidRDefault="00827A41" w:rsidP="00E24C10">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827A41" w:rsidRPr="008F3AB1" w14:paraId="45039A99" w14:textId="77777777" w:rsidTr="00FB0127">
        <w:trPr>
          <w:trHeight w:val="1546"/>
        </w:trPr>
        <w:tc>
          <w:tcPr>
            <w:cnfStyle w:val="001000000000" w:firstRow="0" w:lastRow="0" w:firstColumn="1" w:lastColumn="0" w:oddVBand="0" w:evenVBand="0" w:oddHBand="0" w:evenHBand="0" w:firstRowFirstColumn="0" w:firstRowLastColumn="0" w:lastRowFirstColumn="0" w:lastRowLastColumn="0"/>
            <w:tcW w:w="1984" w:type="dxa"/>
            <w:vMerge/>
          </w:tcPr>
          <w:p w14:paraId="5484F8CB" w14:textId="77777777" w:rsidR="00827A41" w:rsidRPr="008F3AB1" w:rsidRDefault="00827A41" w:rsidP="00E24C10">
            <w:pPr>
              <w:rPr>
                <w:rFonts w:cs="Arial"/>
                <w:sz w:val="20"/>
                <w:szCs w:val="20"/>
              </w:rPr>
            </w:pPr>
          </w:p>
        </w:tc>
        <w:tc>
          <w:tcPr>
            <w:tcW w:w="1845" w:type="dxa"/>
          </w:tcPr>
          <w:p w14:paraId="0C495B91" w14:textId="77777777" w:rsidR="00827A41" w:rsidRPr="008F3AB1" w:rsidRDefault="00827A41" w:rsidP="00E24C10">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tcPr>
          <w:p w14:paraId="754A78A7" w14:textId="77777777" w:rsidR="00827A41" w:rsidRPr="008F3AB1" w:rsidRDefault="00827A41" w:rsidP="00E24C10">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Reitera la importancia de contar con la participación de particulares en la preservación y manejo del ambiente y establece en su artículo 9 establece que el gobierno nacional incluirá dentro de los programas de educación a nivel primario, medio, técnico y universitario, cursos regulares sobre conservación y protección del medio ambiente.</w:t>
            </w:r>
          </w:p>
        </w:tc>
      </w:tr>
      <w:tr w:rsidR="00827A41" w:rsidRPr="008F3AB1" w14:paraId="2D5D6821" w14:textId="77777777" w:rsidTr="00E24C10">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1984" w:type="dxa"/>
          </w:tcPr>
          <w:p w14:paraId="364ECA35" w14:textId="77777777" w:rsidR="00827A41" w:rsidRPr="008F3AB1" w:rsidRDefault="00827A41" w:rsidP="00E24C10">
            <w:pPr>
              <w:rPr>
                <w:rFonts w:cs="Arial"/>
                <w:sz w:val="20"/>
                <w:szCs w:val="20"/>
              </w:rPr>
            </w:pPr>
          </w:p>
        </w:tc>
        <w:tc>
          <w:tcPr>
            <w:tcW w:w="1845" w:type="dxa"/>
          </w:tcPr>
          <w:p w14:paraId="07B018F1" w14:textId="77777777" w:rsidR="00827A41" w:rsidRPr="008F3AB1" w:rsidRDefault="00827A41" w:rsidP="00E24C10">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 xml:space="preserve"> Sentencia de Unificación (SU) 133 de 2017 Corte Constitucional</w:t>
            </w:r>
          </w:p>
        </w:tc>
        <w:tc>
          <w:tcPr>
            <w:tcW w:w="5527" w:type="dxa"/>
          </w:tcPr>
          <w:p w14:paraId="09B9862F" w14:textId="77777777" w:rsidR="00827A41" w:rsidRPr="008F3AB1" w:rsidRDefault="00827A41" w:rsidP="00E24C10">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r w:rsidRPr="008F3AB1">
              <w:rPr>
                <w:rFonts w:cs="Arial"/>
                <w:sz w:val="20"/>
                <w:szCs w:val="20"/>
              </w:rPr>
              <w:t>Resaltó que la información se constituye como un prerrequisito para la participación pública en la toma de decisiones pues solo con ella las comunidades pueden reunir las pruebas y argumentos para expresar su opinión respecto a los problemas que las afectan. leyes 1930 y la Resolución 0886 del Ministerio de Ambiente, ambas de 2018, establecen que las comunidades y sus conocimientos deben tomar parte en las decisiones y en las acciones asociadas a la planeación y zonificación de los páramos, ecosistemas que hasta ese año se regían por marcos normativos fundamentalmente excluyentes.</w:t>
            </w:r>
          </w:p>
        </w:tc>
      </w:tr>
      <w:tr w:rsidR="00827A41" w:rsidRPr="008F3AB1" w14:paraId="033E6C40" w14:textId="77777777" w:rsidTr="008F3AB1">
        <w:trPr>
          <w:trHeight w:val="70"/>
        </w:trPr>
        <w:tc>
          <w:tcPr>
            <w:cnfStyle w:val="001000000000" w:firstRow="0" w:lastRow="0" w:firstColumn="1" w:lastColumn="0" w:oddVBand="0" w:evenVBand="0" w:oddHBand="0" w:evenHBand="0" w:firstRowFirstColumn="0" w:firstRowLastColumn="0" w:lastRowFirstColumn="0" w:lastRowLastColumn="0"/>
            <w:tcW w:w="1984" w:type="dxa"/>
          </w:tcPr>
          <w:p w14:paraId="73709686" w14:textId="77777777" w:rsidR="00827A41" w:rsidRPr="008F3AB1" w:rsidRDefault="00827A41" w:rsidP="00E24C10">
            <w:pPr>
              <w:rPr>
                <w:rFonts w:cs="Arial"/>
                <w:sz w:val="20"/>
                <w:szCs w:val="20"/>
              </w:rPr>
            </w:pPr>
          </w:p>
        </w:tc>
        <w:tc>
          <w:tcPr>
            <w:tcW w:w="1845" w:type="dxa"/>
          </w:tcPr>
          <w:p w14:paraId="414B7908" w14:textId="77777777" w:rsidR="00827A41" w:rsidRPr="008F3AB1" w:rsidRDefault="00827A41" w:rsidP="00E24C10">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t>Ley 2273 de 2022,</w:t>
            </w:r>
            <w:r w:rsidRPr="008F3AB1">
              <w:rPr>
                <w:rFonts w:cs="Arial"/>
              </w:rPr>
              <w:t xml:space="preserve"> </w:t>
            </w:r>
            <w:r w:rsidRPr="008F3AB1">
              <w:rPr>
                <w:rFonts w:cs="Arial"/>
                <w:i/>
              </w:rPr>
              <w:t>“P</w:t>
            </w:r>
            <w:r w:rsidRPr="008F3AB1">
              <w:rPr>
                <w:rFonts w:cs="Arial"/>
                <w:i/>
                <w:sz w:val="20"/>
                <w:szCs w:val="20"/>
              </w:rPr>
              <w:t xml:space="preserve">or medio de la cual se aprueba el “Acuerdo regional sobre el acceso a </w:t>
            </w:r>
            <w:r w:rsidRPr="008F3AB1">
              <w:rPr>
                <w:rFonts w:cs="Arial"/>
                <w:i/>
                <w:sz w:val="20"/>
                <w:szCs w:val="20"/>
              </w:rPr>
              <w:lastRenderedPageBreak/>
              <w:t>la información, la participación pública y el acceso a la justicia en asuntos ambientales en América Latina y el Caribe”, adoptado en Escazú, Costa Rica, el 4 de marzo de 2018</w:t>
            </w:r>
          </w:p>
          <w:p w14:paraId="076F068B" w14:textId="77777777" w:rsidR="00827A41" w:rsidRPr="008F3AB1" w:rsidRDefault="00827A41" w:rsidP="00E24C10">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tcPr>
          <w:p w14:paraId="6C36894E" w14:textId="5B6234A8" w:rsidR="00827A41" w:rsidRPr="008F3AB1" w:rsidRDefault="00827A41" w:rsidP="008F3AB1">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8F3AB1">
              <w:rPr>
                <w:rFonts w:cs="Arial"/>
                <w:sz w:val="20"/>
                <w:szCs w:val="20"/>
              </w:rPr>
              <w:lastRenderedPageBreak/>
              <w:t xml:space="preserve">El objetivo del Acuerdo de Escazú, es garantizar la implementación plena y efectiva en América Latina y el Caribe de los derechos de acceso a la información ambiental, participación pública en los procesos de toma de decisiones ambientales y acceso a la justicia en asuntos </w:t>
            </w:r>
            <w:r w:rsidRPr="008F3AB1">
              <w:rPr>
                <w:rFonts w:cs="Arial"/>
                <w:sz w:val="20"/>
                <w:szCs w:val="20"/>
              </w:rPr>
              <w:lastRenderedPageBreak/>
              <w:t>ambientales, y la creación y el fortalecimiento de las capacidades y la cooperación, contribuyendo a la protección del derecho de cada persona, de las generaciones presentes y futuras, a vivir en un medio ambiente sano y al desarrollo sostenible. </w:t>
            </w:r>
          </w:p>
        </w:tc>
      </w:tr>
    </w:tbl>
    <w:p w14:paraId="0CCB90EB" w14:textId="77777777" w:rsidR="00827A41" w:rsidRPr="008F3AB1" w:rsidRDefault="00827A41" w:rsidP="00827A41">
      <w:pPr>
        <w:rPr>
          <w:rFonts w:cs="Arial"/>
          <w:lang w:val="es-ES_tradnl" w:eastAsia="es-ES"/>
        </w:rPr>
      </w:pPr>
    </w:p>
    <w:p w14:paraId="78834DA7" w14:textId="77777777" w:rsidR="00827A41" w:rsidRPr="008F3AB1" w:rsidRDefault="00827A41" w:rsidP="00827A41">
      <w:pPr>
        <w:rPr>
          <w:rFonts w:cs="Arial"/>
          <w:sz w:val="24"/>
          <w:szCs w:val="32"/>
          <w:lang w:val="es-ES_tradnl" w:eastAsia="es-ES"/>
        </w:rPr>
      </w:pPr>
      <w:r w:rsidRPr="008F3AB1">
        <w:rPr>
          <w:rFonts w:cs="Arial"/>
          <w:lang w:val="es-ES_tradnl" w:eastAsia="es-ES"/>
        </w:rPr>
        <w:br w:type="page"/>
      </w:r>
    </w:p>
    <w:p w14:paraId="6046FF09" w14:textId="77777777" w:rsidR="00827A41" w:rsidRPr="008F3AB1" w:rsidRDefault="00827A41" w:rsidP="005306CE">
      <w:pPr>
        <w:pStyle w:val="Ttulo1"/>
        <w:keepNext/>
        <w:keepLines/>
        <w:widowControl/>
        <w:numPr>
          <w:ilvl w:val="0"/>
          <w:numId w:val="43"/>
        </w:numPr>
        <w:autoSpaceDE/>
        <w:autoSpaceDN/>
        <w:spacing w:before="240"/>
        <w:rPr>
          <w:rFonts w:eastAsiaTheme="minorEastAsia"/>
          <w:lang w:val="es-ES_tradnl" w:eastAsia="es-ES"/>
        </w:rPr>
      </w:pPr>
      <w:bookmarkStart w:id="98" w:name="_Toc211877981"/>
      <w:r w:rsidRPr="008F3AB1">
        <w:rPr>
          <w:rFonts w:eastAsiaTheme="minorEastAsia"/>
          <w:lang w:val="es-ES_tradnl" w:eastAsia="es-ES"/>
        </w:rPr>
        <w:lastRenderedPageBreak/>
        <w:t>BIBLIOGRAFÍA</w:t>
      </w:r>
      <w:bookmarkEnd w:id="94"/>
      <w:bookmarkEnd w:id="98"/>
    </w:p>
    <w:sdt>
      <w:sdtPr>
        <w:rPr>
          <w:rFonts w:cs="Arial"/>
        </w:rPr>
        <w:id w:val="111145805"/>
        <w:bibliography/>
      </w:sdtPr>
      <w:sdtContent>
        <w:sdt>
          <w:sdtPr>
            <w:rPr>
              <w:rFonts w:cs="Arial"/>
              <w:b/>
            </w:rPr>
            <w:id w:val="1555505722"/>
            <w:docPartObj>
              <w:docPartGallery w:val="Bibliographies"/>
              <w:docPartUnique/>
            </w:docPartObj>
          </w:sdtPr>
          <w:sdtEndPr>
            <w:rPr>
              <w:b w:val="0"/>
            </w:rPr>
          </w:sdtEndPr>
          <w:sdtContent>
            <w:p w14:paraId="1EB2E53F" w14:textId="77777777" w:rsidR="00827A41" w:rsidRPr="008F3AB1" w:rsidRDefault="00827A41" w:rsidP="00827A41">
              <w:pPr>
                <w:rPr>
                  <w:rFonts w:cs="Arial"/>
                </w:rPr>
              </w:pPr>
            </w:p>
            <w:sdt>
              <w:sdtPr>
                <w:rPr>
                  <w:rFonts w:cs="Arial"/>
                  <w:lang w:val="es-CO"/>
                </w:rPr>
                <w:id w:val="-841465496"/>
                <w:bibliography/>
              </w:sdtPr>
              <w:sdtContent>
                <w:p w14:paraId="4DA37E10" w14:textId="77777777" w:rsidR="00FB0127" w:rsidRPr="008F3AB1" w:rsidRDefault="00827A41" w:rsidP="00FB0127">
                  <w:pPr>
                    <w:pStyle w:val="Bibliografa"/>
                    <w:ind w:left="720" w:hanging="720"/>
                    <w:rPr>
                      <w:noProof/>
                      <w:sz w:val="24"/>
                      <w:szCs w:val="24"/>
                      <w:lang w:val="es-ES_tradnl"/>
                    </w:rPr>
                  </w:pPr>
                  <w:r w:rsidRPr="008F3AB1">
                    <w:rPr>
                      <w:rFonts w:cs="Arial"/>
                    </w:rPr>
                    <w:fldChar w:fldCharType="begin"/>
                  </w:r>
                  <w:r w:rsidRPr="008F3AB1">
                    <w:rPr>
                      <w:rFonts w:cs="Arial"/>
                    </w:rPr>
                    <w:instrText>BIBLIOGRAPHY</w:instrText>
                  </w:r>
                  <w:r w:rsidRPr="008F3AB1">
                    <w:rPr>
                      <w:rFonts w:cs="Arial"/>
                    </w:rPr>
                    <w:fldChar w:fldCharType="separate"/>
                  </w:r>
                  <w:r w:rsidR="00FB0127" w:rsidRPr="008F3AB1">
                    <w:rPr>
                      <w:noProof/>
                      <w:lang w:val="es-ES_tradnl"/>
                    </w:rPr>
                    <w:t xml:space="preserve">ASOCARS. (2021). </w:t>
                  </w:r>
                  <w:r w:rsidR="00FB0127" w:rsidRPr="008F3AB1">
                    <w:rPr>
                      <w:i/>
                      <w:iCs/>
                      <w:noProof/>
                      <w:lang w:val="es-ES_tradnl"/>
                    </w:rPr>
                    <w:t>Memorias taller Construcción de la ruta metodológica para la construcción de Lineamientos y directrices del cultivo ambientalmente sostenible del Aguacate Hass.</w:t>
                  </w:r>
                  <w:r w:rsidR="00FB0127" w:rsidRPr="008F3AB1">
                    <w:rPr>
                      <w:noProof/>
                      <w:lang w:val="es-ES_tradnl"/>
                    </w:rPr>
                    <w:t xml:space="preserve"> </w:t>
                  </w:r>
                </w:p>
                <w:p w14:paraId="1427F9BE" w14:textId="77777777" w:rsidR="00FB0127" w:rsidRPr="008F3AB1" w:rsidRDefault="00FB0127" w:rsidP="00FB0127">
                  <w:pPr>
                    <w:pStyle w:val="Bibliografa"/>
                    <w:ind w:left="720" w:hanging="720"/>
                    <w:rPr>
                      <w:noProof/>
                      <w:lang w:val="es-ES_tradnl"/>
                    </w:rPr>
                  </w:pPr>
                  <w:r w:rsidRPr="008F3AB1">
                    <w:rPr>
                      <w:noProof/>
                      <w:lang w:val="es-ES_tradnl"/>
                    </w:rPr>
                    <w:t xml:space="preserve">Colombia. Ministerio de Ambiente, Vivienda y Desarrollo Territorial. (2010). </w:t>
                  </w:r>
                  <w:r w:rsidRPr="008F3AB1">
                    <w:rPr>
                      <w:i/>
                      <w:iCs/>
                      <w:noProof/>
                      <w:lang w:val="es-ES_tradnl"/>
                    </w:rPr>
                    <w:t>Política Nacional de Producción y Consumo Sostenible.</w:t>
                  </w:r>
                  <w:r w:rsidRPr="008F3AB1">
                    <w:rPr>
                      <w:noProof/>
                      <w:lang w:val="es-ES_tradnl"/>
                    </w:rPr>
                    <w:t xml:space="preserve"> Bogotá: Ministerio de Ambiente, Vivienda y Desarrollo Territorial. Recuperado el 2022, de https://rds.org.co/apc-aa-files/ba03645a7c069b5ed406f13122a61c07/polit_nal_produccion_consumo_sostenible-2010.pdf</w:t>
                  </w:r>
                </w:p>
                <w:p w14:paraId="5CA49DE7" w14:textId="77777777" w:rsidR="00FB0127" w:rsidRPr="008F3AB1" w:rsidRDefault="00FB0127" w:rsidP="00FB0127">
                  <w:pPr>
                    <w:pStyle w:val="Bibliografa"/>
                    <w:ind w:left="720" w:hanging="720"/>
                    <w:rPr>
                      <w:noProof/>
                      <w:lang w:val="es-ES_tradnl"/>
                    </w:rPr>
                  </w:pPr>
                  <w:r w:rsidRPr="008F3AB1">
                    <w:rPr>
                      <w:noProof/>
                      <w:lang w:val="es-ES_tradnl"/>
                    </w:rPr>
                    <w:t xml:space="preserve">Congreso de Colombia. (1997). </w:t>
                  </w:r>
                  <w:r w:rsidRPr="008F3AB1">
                    <w:rPr>
                      <w:i/>
                      <w:iCs/>
                      <w:noProof/>
                      <w:lang w:val="es-ES_tradnl"/>
                    </w:rPr>
                    <w:t>Ley 357 de 1997. por medio de la cual se aprueba la "Convención Relativa a los Humedales de Importancia Internacional Especialmente como Hábitat de Aves Acuáticas", suscrita en Ramsar el dos (2) de febrero de mil novecientos setenta y uno (1971).</w:t>
                  </w:r>
                  <w:r w:rsidRPr="008F3AB1">
                    <w:rPr>
                      <w:noProof/>
                      <w:lang w:val="es-ES_tradnl"/>
                    </w:rPr>
                    <w:t xml:space="preserve"> Bogotá.</w:t>
                  </w:r>
                </w:p>
                <w:p w14:paraId="324A8361" w14:textId="77777777" w:rsidR="00FB0127" w:rsidRPr="008F3AB1" w:rsidRDefault="00FB0127" w:rsidP="00FB0127">
                  <w:pPr>
                    <w:pStyle w:val="Bibliografa"/>
                    <w:ind w:left="720" w:hanging="720"/>
                    <w:rPr>
                      <w:noProof/>
                      <w:lang w:val="es-ES_tradnl"/>
                    </w:rPr>
                  </w:pPr>
                  <w:r w:rsidRPr="008F3AB1">
                    <w:rPr>
                      <w:noProof/>
                      <w:lang w:val="es-ES_tradnl"/>
                    </w:rPr>
                    <w:t xml:space="preserve">Congreso de Colombia. (1997). </w:t>
                  </w:r>
                  <w:r w:rsidRPr="008F3AB1">
                    <w:rPr>
                      <w:i/>
                      <w:iCs/>
                      <w:noProof/>
                      <w:lang w:val="es-ES_tradnl"/>
                    </w:rPr>
                    <w:t>Ley 388 de 1997 Por la cual se modifica la Ley 9 de 1989, y la Ley 2 de 1991 y se dictan otras disposiciones.</w:t>
                  </w:r>
                  <w:r w:rsidRPr="008F3AB1">
                    <w:rPr>
                      <w:noProof/>
                      <w:lang w:val="es-ES_tradnl"/>
                    </w:rPr>
                    <w:t xml:space="preserve"> Bogotá.</w:t>
                  </w:r>
                </w:p>
                <w:p w14:paraId="6F9EFF9F" w14:textId="77777777" w:rsidR="00FB0127" w:rsidRPr="008F3AB1" w:rsidRDefault="00FB0127" w:rsidP="00FB0127">
                  <w:pPr>
                    <w:pStyle w:val="Bibliografa"/>
                    <w:ind w:left="720" w:hanging="720"/>
                    <w:rPr>
                      <w:noProof/>
                      <w:lang w:val="es-ES_tradnl"/>
                    </w:rPr>
                  </w:pPr>
                  <w:r w:rsidRPr="008F3AB1">
                    <w:rPr>
                      <w:noProof/>
                      <w:lang w:val="es-ES_tradnl"/>
                    </w:rPr>
                    <w:t xml:space="preserve">Congreso de Colombia. (2011). </w:t>
                  </w:r>
                  <w:r w:rsidRPr="008F3AB1">
                    <w:rPr>
                      <w:i/>
                      <w:iCs/>
                      <w:noProof/>
                      <w:lang w:val="es-ES_tradnl"/>
                    </w:rPr>
                    <w:t>Ley 1450 de 2011 , “Por la cual se expide el Plan Nacional de Desarrollo, 2010-2014".</w:t>
                  </w:r>
                  <w:r w:rsidRPr="008F3AB1">
                    <w:rPr>
                      <w:noProof/>
                      <w:lang w:val="es-ES_tradnl"/>
                    </w:rPr>
                    <w:t xml:space="preserve"> Bogotá.</w:t>
                  </w:r>
                </w:p>
                <w:p w14:paraId="41C1595E" w14:textId="77777777" w:rsidR="00FB0127" w:rsidRPr="008F3AB1" w:rsidRDefault="00FB0127" w:rsidP="00FB0127">
                  <w:pPr>
                    <w:pStyle w:val="Bibliografa"/>
                    <w:ind w:left="720" w:hanging="720"/>
                    <w:rPr>
                      <w:noProof/>
                      <w:lang w:val="es-ES_tradnl"/>
                    </w:rPr>
                  </w:pPr>
                  <w:r w:rsidRPr="008F3AB1">
                    <w:rPr>
                      <w:noProof/>
                      <w:lang w:val="es-ES_tradnl"/>
                    </w:rPr>
                    <w:t xml:space="preserve">Congreso de la República. (1992). </w:t>
                  </w:r>
                  <w:r w:rsidRPr="008F3AB1">
                    <w:rPr>
                      <w:i/>
                      <w:iCs/>
                      <w:noProof/>
                      <w:lang w:val="es-ES_tradnl"/>
                    </w:rPr>
                    <w:t>Ley 165 de 1994, Por medio de la cual se aprueba el "Convenio sobre la Diversidad Biológica", hecho en Río de Janeiro el 5 de junio de 1992.</w:t>
                  </w:r>
                  <w:r w:rsidRPr="008F3AB1">
                    <w:rPr>
                      <w:noProof/>
                      <w:lang w:val="es-ES_tradnl"/>
                    </w:rPr>
                    <w:t xml:space="preserve"> Bogotá, DC.: Congreso de la República.</w:t>
                  </w:r>
                </w:p>
                <w:p w14:paraId="318E467D" w14:textId="77777777" w:rsidR="00FB0127" w:rsidRPr="008F3AB1" w:rsidRDefault="00FB0127" w:rsidP="00FB0127">
                  <w:pPr>
                    <w:pStyle w:val="Bibliografa"/>
                    <w:ind w:left="720" w:hanging="720"/>
                    <w:rPr>
                      <w:noProof/>
                      <w:lang w:val="es-ES_tradnl"/>
                    </w:rPr>
                  </w:pPr>
                  <w:r w:rsidRPr="008F3AB1">
                    <w:rPr>
                      <w:noProof/>
                      <w:lang w:val="es-ES_tradnl"/>
                    </w:rPr>
                    <w:t xml:space="preserve">Congreso de la República de Colombia. (2009). </w:t>
                  </w:r>
                  <w:r w:rsidRPr="008F3AB1">
                    <w:rPr>
                      <w:i/>
                      <w:iCs/>
                      <w:noProof/>
                      <w:lang w:val="es-ES_tradnl"/>
                    </w:rPr>
                    <w:t>LEY 1333 DE 2009 “Por la cual se establece el procedimiento sancionatorio ambiental y se dictan otras disposiciones.” .</w:t>
                  </w:r>
                  <w:r w:rsidRPr="008F3AB1">
                    <w:rPr>
                      <w:noProof/>
                      <w:lang w:val="es-ES_tradnl"/>
                    </w:rPr>
                    <w:t xml:space="preserve"> Obtenido de https://www.funcionpublica.gov.co/eva/gestornormativo/norma.php?i=36879</w:t>
                  </w:r>
                </w:p>
                <w:p w14:paraId="3A32ECFF" w14:textId="77777777" w:rsidR="00FB0127" w:rsidRPr="008F3AB1" w:rsidRDefault="00FB0127" w:rsidP="00FB0127">
                  <w:pPr>
                    <w:pStyle w:val="Bibliografa"/>
                    <w:ind w:left="720" w:hanging="720"/>
                    <w:rPr>
                      <w:noProof/>
                      <w:lang w:val="es-ES_tradnl"/>
                    </w:rPr>
                  </w:pPr>
                  <w:r w:rsidRPr="008F3AB1">
                    <w:rPr>
                      <w:noProof/>
                      <w:lang w:val="es-ES_tradnl"/>
                    </w:rPr>
                    <w:t xml:space="preserve">Congreso de la República de Colombia. (2018). Ley 1930 DE 2018. En </w:t>
                  </w:r>
                  <w:r w:rsidRPr="008F3AB1">
                    <w:rPr>
                      <w:i/>
                      <w:iCs/>
                      <w:noProof/>
                      <w:lang w:val="es-ES_tradnl"/>
                    </w:rPr>
                    <w:t>Por medio de la cual se dictan disposiciones para la gestión integral de los páramos en Colombia".</w:t>
                  </w:r>
                  <w:r w:rsidRPr="008F3AB1">
                    <w:rPr>
                      <w:noProof/>
                      <w:lang w:val="es-ES_tradnl"/>
                    </w:rPr>
                    <w:t xml:space="preserve"> Obtenido de https://www.funcionpublica.gov.co/eva/gestornormativo/norma.php?i=87764</w:t>
                  </w:r>
                </w:p>
                <w:p w14:paraId="4EBAC655" w14:textId="77777777" w:rsidR="00FB0127" w:rsidRPr="008F3AB1" w:rsidRDefault="00FB0127" w:rsidP="00FB0127">
                  <w:pPr>
                    <w:pStyle w:val="Bibliografa"/>
                    <w:ind w:left="720" w:hanging="720"/>
                    <w:rPr>
                      <w:noProof/>
                      <w:lang w:val="es-ES_tradnl"/>
                    </w:rPr>
                  </w:pPr>
                  <w:r w:rsidRPr="008F3AB1">
                    <w:rPr>
                      <w:noProof/>
                      <w:lang w:val="es-ES_tradnl"/>
                    </w:rPr>
                    <w:t xml:space="preserve">Congreso de la República de Colombia. (2021). </w:t>
                  </w:r>
                  <w:r w:rsidRPr="008F3AB1">
                    <w:rPr>
                      <w:i/>
                      <w:iCs/>
                      <w:noProof/>
                      <w:lang w:val="es-ES_tradnl"/>
                    </w:rPr>
                    <w:t>Ley 2111 de 2021 Por medio del cual se sustituye el título XI "de los delitos contra los recursos naturaales y el medio ambiente de la Ley 599 de 2000, se modifica la Ley 906 de 2004 y se dictan otras disposiciones.</w:t>
                  </w:r>
                  <w:r w:rsidRPr="008F3AB1">
                    <w:rPr>
                      <w:noProof/>
                      <w:lang w:val="es-ES_tradnl"/>
                    </w:rPr>
                    <w:t xml:space="preserve"> Bogotá. Obtenido de https://www.minambiente.gov.co/wp-content/uploads/2021/06/ley-2111-2021.pdf</w:t>
                  </w:r>
                </w:p>
                <w:p w14:paraId="6E578098" w14:textId="77777777" w:rsidR="00FB0127" w:rsidRPr="008F3AB1" w:rsidRDefault="00FB0127" w:rsidP="00FB0127">
                  <w:pPr>
                    <w:pStyle w:val="Bibliografa"/>
                    <w:ind w:left="720" w:hanging="720"/>
                    <w:rPr>
                      <w:noProof/>
                      <w:lang w:val="es-ES_tradnl"/>
                    </w:rPr>
                  </w:pPr>
                  <w:r w:rsidRPr="008F3AB1">
                    <w:rPr>
                      <w:noProof/>
                      <w:lang w:val="es-ES_tradnl"/>
                    </w:rPr>
                    <w:t xml:space="preserve">CONSTITUCIÓN POLÍTICA DE COLOMBIA 1991. (1991). En </w:t>
                  </w:r>
                  <w:r w:rsidRPr="008F3AB1">
                    <w:rPr>
                      <w:i/>
                      <w:iCs/>
                      <w:noProof/>
                      <w:lang w:val="es-ES_tradnl"/>
                    </w:rPr>
                    <w:t>Capitulo 3.</w:t>
                  </w:r>
                  <w:r w:rsidRPr="008F3AB1">
                    <w:rPr>
                      <w:noProof/>
                      <w:lang w:val="es-ES_tradnl"/>
                    </w:rPr>
                    <w:t xml:space="preserve"> Obtenido de https://pdba.georgetown.edu/Constitutions/Colombia/colombia91.pdf</w:t>
                  </w:r>
                </w:p>
                <w:p w14:paraId="2DED3FA1" w14:textId="77777777" w:rsidR="00FB0127" w:rsidRPr="008F3AB1" w:rsidRDefault="00FB0127" w:rsidP="00FB0127">
                  <w:pPr>
                    <w:pStyle w:val="Bibliografa"/>
                    <w:ind w:left="720" w:hanging="720"/>
                    <w:rPr>
                      <w:noProof/>
                      <w:lang w:val="es-ES_tradnl"/>
                    </w:rPr>
                  </w:pPr>
                  <w:r w:rsidRPr="008F3AB1">
                    <w:rPr>
                      <w:noProof/>
                      <w:lang w:val="es-ES_tradnl"/>
                    </w:rPr>
                    <w:t xml:space="preserve">Erazo, E. R. (2021). Avocado cv. </w:t>
                  </w:r>
                  <w:r w:rsidRPr="008F3AB1">
                    <w:rPr>
                      <w:noProof/>
                      <w:lang w:val="en-US"/>
                    </w:rPr>
                    <w:t xml:space="preserve">Hass Needs Water Irrigation in Tropical Precipitation Regime: Evidence from Colombia. </w:t>
                  </w:r>
                  <w:r w:rsidRPr="008F3AB1">
                    <w:rPr>
                      <w:i/>
                      <w:iCs/>
                      <w:noProof/>
                      <w:lang w:val="es-ES_tradnl"/>
                    </w:rPr>
                    <w:t>Water, 13</w:t>
                  </w:r>
                  <w:r w:rsidRPr="008F3AB1">
                    <w:rPr>
                      <w:noProof/>
                      <w:lang w:val="es-ES_tradnl"/>
                    </w:rPr>
                    <w:t>, 1942.</w:t>
                  </w:r>
                </w:p>
                <w:p w14:paraId="01AED96F" w14:textId="77777777" w:rsidR="00FB0127" w:rsidRPr="008F3AB1" w:rsidRDefault="00FB0127" w:rsidP="00FB0127">
                  <w:pPr>
                    <w:pStyle w:val="Bibliografa"/>
                    <w:ind w:left="720" w:hanging="720"/>
                    <w:rPr>
                      <w:noProof/>
                      <w:lang w:val="es-ES_tradnl"/>
                    </w:rPr>
                  </w:pPr>
                  <w:r w:rsidRPr="008F3AB1">
                    <w:rPr>
                      <w:noProof/>
                      <w:lang w:val="es-ES_tradnl"/>
                    </w:rPr>
                    <w:t xml:space="preserve">Gobierno de Colombia. (2019). </w:t>
                  </w:r>
                  <w:r w:rsidRPr="008F3AB1">
                    <w:rPr>
                      <w:i/>
                      <w:iCs/>
                      <w:noProof/>
                      <w:lang w:val="es-ES_tradnl"/>
                    </w:rPr>
                    <w:t>Estrategia nacional de economía circular : Cierre de ciclos de materiales,innovación tecnológica, colaboración y nuevos modelos de negocio.</w:t>
                  </w:r>
                  <w:r w:rsidRPr="008F3AB1">
                    <w:rPr>
                      <w:noProof/>
                      <w:lang w:val="es-ES_tradnl"/>
                    </w:rPr>
                    <w:t xml:space="preserve"> </w:t>
                  </w:r>
                  <w:r w:rsidRPr="008F3AB1">
                    <w:rPr>
                      <w:noProof/>
                      <w:lang w:val="es-ES_tradnl"/>
                    </w:rPr>
                    <w:lastRenderedPageBreak/>
                    <w:t>Bogotá: Ministerio de Ambiente y Desarrollo Sostenible / Ministerio de Comercio, Industria y Turismo.</w:t>
                  </w:r>
                </w:p>
                <w:p w14:paraId="2BD837EA" w14:textId="77777777" w:rsidR="00FB0127" w:rsidRPr="008F3AB1" w:rsidRDefault="00FB0127" w:rsidP="00FB0127">
                  <w:pPr>
                    <w:pStyle w:val="Bibliografa"/>
                    <w:ind w:left="720" w:hanging="720"/>
                    <w:rPr>
                      <w:noProof/>
                      <w:lang w:val="es-ES_tradnl"/>
                    </w:rPr>
                  </w:pPr>
                  <w:r w:rsidRPr="008F3AB1">
                    <w:rPr>
                      <w:noProof/>
                      <w:lang w:val="es-ES_tradnl"/>
                    </w:rPr>
                    <w:t xml:space="preserve">Ideam. (2023). </w:t>
                  </w:r>
                  <w:r w:rsidRPr="008F3AB1">
                    <w:rPr>
                      <w:i/>
                      <w:iCs/>
                      <w:noProof/>
                      <w:lang w:val="es-ES_tradnl"/>
                    </w:rPr>
                    <w:t>Estudio Nacional del Agua 2022. .</w:t>
                  </w:r>
                  <w:r w:rsidRPr="008F3AB1">
                    <w:rPr>
                      <w:noProof/>
                      <w:lang w:val="es-ES_tradnl"/>
                    </w:rPr>
                    <w:t xml:space="preserve"> Bogotá, D.C.: Ideam.</w:t>
                  </w:r>
                </w:p>
                <w:p w14:paraId="20E5D584" w14:textId="77777777" w:rsidR="00FB0127" w:rsidRPr="008F3AB1" w:rsidRDefault="00FB0127" w:rsidP="00FB0127">
                  <w:pPr>
                    <w:pStyle w:val="Bibliografa"/>
                    <w:ind w:left="720" w:hanging="720"/>
                    <w:rPr>
                      <w:noProof/>
                      <w:lang w:val="es-ES_tradnl"/>
                    </w:rPr>
                  </w:pPr>
                  <w:r w:rsidRPr="008F3AB1">
                    <w:rPr>
                      <w:noProof/>
                      <w:lang w:val="es-ES_tradnl"/>
                    </w:rPr>
                    <w:t xml:space="preserve">Instituto Colombiano Agropecuario - ICA. (2016). </w:t>
                  </w:r>
                  <w:r w:rsidRPr="008F3AB1">
                    <w:rPr>
                      <w:i/>
                      <w:iCs/>
                      <w:noProof/>
                      <w:lang w:val="es-ES_tradnl"/>
                    </w:rPr>
                    <w:t>Resolución 20009 de 2016, Por medio de la cual se establecen los requisitos para la Certificación en Buenas Prácticas Agrícolas en producción primaria de vegetales y otras especies para consumo humano.</w:t>
                  </w:r>
                  <w:r w:rsidRPr="008F3AB1">
                    <w:rPr>
                      <w:noProof/>
                      <w:lang w:val="es-ES_tradnl"/>
                    </w:rPr>
                    <w:t xml:space="preserve"> Bogotá.</w:t>
                  </w:r>
                </w:p>
                <w:p w14:paraId="2C3CFAB4" w14:textId="77777777" w:rsidR="00FB0127" w:rsidRPr="008F3AB1" w:rsidRDefault="00FB0127" w:rsidP="00FB0127">
                  <w:pPr>
                    <w:pStyle w:val="Bibliografa"/>
                    <w:ind w:left="720" w:hanging="720"/>
                    <w:rPr>
                      <w:noProof/>
                      <w:lang w:val="es-ES_tradnl"/>
                    </w:rPr>
                  </w:pPr>
                  <w:r w:rsidRPr="008F3AB1">
                    <w:rPr>
                      <w:noProof/>
                      <w:lang w:val="es-ES_tradnl"/>
                    </w:rPr>
                    <w:t xml:space="preserve">Instituto Colombiano Agropecuario - ICA. (2021). </w:t>
                  </w:r>
                  <w:r w:rsidRPr="008F3AB1">
                    <w:rPr>
                      <w:i/>
                      <w:iCs/>
                      <w:noProof/>
                      <w:lang w:val="es-ES_tradnl"/>
                    </w:rPr>
                    <w:t>Resolucion 92101 de 2021 “Por medio de la cual se suspende temporalmente el registro de los productos formulados que contengan como ingrediente activo Fipronil y que dentro de los formulados que contengan como ingrediente activo Fipronil .</w:t>
                  </w:r>
                  <w:r w:rsidRPr="008F3AB1">
                    <w:rPr>
                      <w:noProof/>
                      <w:lang w:val="es-ES_tradnl"/>
                    </w:rPr>
                    <w:t xml:space="preserve"> Bogotá.</w:t>
                  </w:r>
                </w:p>
                <w:p w14:paraId="3A6A8563" w14:textId="77777777" w:rsidR="00FB0127" w:rsidRPr="008F3AB1" w:rsidRDefault="00FB0127" w:rsidP="00FB0127">
                  <w:pPr>
                    <w:pStyle w:val="Bibliografa"/>
                    <w:ind w:left="720" w:hanging="720"/>
                    <w:rPr>
                      <w:noProof/>
                      <w:lang w:val="es-ES_tradnl"/>
                    </w:rPr>
                  </w:pPr>
                  <w:r w:rsidRPr="008F3AB1">
                    <w:rPr>
                      <w:noProof/>
                      <w:lang w:val="es-ES_tradnl"/>
                    </w:rPr>
                    <w:t xml:space="preserve">Instituto Colombiano Agropecuario - ICA. (2022). </w:t>
                  </w:r>
                  <w:r w:rsidRPr="008F3AB1">
                    <w:rPr>
                      <w:i/>
                      <w:iCs/>
                      <w:noProof/>
                      <w:lang w:val="es-ES_tradnl"/>
                    </w:rPr>
                    <w:t>Resolución 824 de 2022,“Por medio de la cual se establecen los requisitos para el registro ante el ICA de los lugares de producción, exportadores y empacadoras de vegetales para la exportación en fresco.”.</w:t>
                  </w:r>
                  <w:r w:rsidRPr="008F3AB1">
                    <w:rPr>
                      <w:noProof/>
                      <w:lang w:val="es-ES_tradnl"/>
                    </w:rPr>
                    <w:t xml:space="preserve"> Bogotá, D.C.</w:t>
                  </w:r>
                </w:p>
                <w:p w14:paraId="238BF112" w14:textId="77777777" w:rsidR="00FB0127" w:rsidRPr="008F3AB1" w:rsidRDefault="00FB0127" w:rsidP="00FB0127">
                  <w:pPr>
                    <w:pStyle w:val="Bibliografa"/>
                    <w:ind w:left="720" w:hanging="720"/>
                    <w:rPr>
                      <w:noProof/>
                      <w:lang w:val="es-ES_tradnl"/>
                    </w:rPr>
                  </w:pPr>
                  <w:r w:rsidRPr="008F3AB1">
                    <w:rPr>
                      <w:noProof/>
                      <w:lang w:val="es-ES_tradnl"/>
                    </w:rPr>
                    <w:t xml:space="preserve">Instituto Colombiano Agropecuario ICA. (2012). </w:t>
                  </w:r>
                  <w:r w:rsidRPr="008F3AB1">
                    <w:rPr>
                      <w:i/>
                      <w:iCs/>
                      <w:noProof/>
                      <w:lang w:val="es-ES_tradnl"/>
                    </w:rPr>
                    <w:t>Manejo fitosanitario del cultivo del aguacate Hass(Persea americana Mill) .</w:t>
                  </w:r>
                  <w:r w:rsidRPr="008F3AB1">
                    <w:rPr>
                      <w:noProof/>
                      <w:lang w:val="es-ES_tradnl"/>
                    </w:rPr>
                    <w:t xml:space="preserve"> Bogotá D.C. Colombia.</w:t>
                  </w:r>
                </w:p>
                <w:p w14:paraId="4AAC0BAA" w14:textId="77777777" w:rsidR="00FB0127" w:rsidRPr="008F3AB1" w:rsidRDefault="00FB0127" w:rsidP="00FB0127">
                  <w:pPr>
                    <w:pStyle w:val="Bibliografa"/>
                    <w:ind w:left="720" w:hanging="720"/>
                    <w:rPr>
                      <w:noProof/>
                      <w:lang w:val="es-ES_tradnl"/>
                    </w:rPr>
                  </w:pPr>
                  <w:r w:rsidRPr="008F3AB1">
                    <w:rPr>
                      <w:noProof/>
                      <w:lang w:val="es-ES_tradnl"/>
                    </w:rPr>
                    <w:t>MADR. (2008). Decreto No 1498 de 2008. En M. d. Rural, &amp; V. y. Ministerio de Ambiente. Bogotá. Obtenido de https://www.anla.gov.co/documentos/normativa/decretos/decreto_1498_de_2008.pdf</w:t>
                  </w:r>
                </w:p>
                <w:p w14:paraId="45486794" w14:textId="77777777" w:rsidR="00FB0127" w:rsidRPr="008F3AB1" w:rsidRDefault="00FB0127" w:rsidP="00FB0127">
                  <w:pPr>
                    <w:pStyle w:val="Bibliografa"/>
                    <w:ind w:left="720" w:hanging="720"/>
                    <w:rPr>
                      <w:noProof/>
                      <w:lang w:val="es-ES_tradnl"/>
                    </w:rPr>
                  </w:pPr>
                  <w:r w:rsidRPr="008F3AB1">
                    <w:rPr>
                      <w:noProof/>
                      <w:lang w:val="es-ES_tradnl"/>
                    </w:rPr>
                    <w:t xml:space="preserve">MADS. (2012). </w:t>
                  </w:r>
                  <w:r w:rsidRPr="008F3AB1">
                    <w:rPr>
                      <w:i/>
                      <w:iCs/>
                      <w:noProof/>
                      <w:lang w:val="es-ES_tradnl"/>
                    </w:rPr>
                    <w:t>POLÍTICA NACIONAL PARA LA GESTIÓN INTEGRAL DE LA BIODIVERSIDAD Y SUS SERVICIOS ECOSISTÉMICOS (PNGIBSE).</w:t>
                  </w:r>
                  <w:r w:rsidRPr="008F3AB1">
                    <w:rPr>
                      <w:noProof/>
                      <w:lang w:val="es-ES_tradnl"/>
                    </w:rPr>
                    <w:t xml:space="preserve"> Bogotá. Obtenido de https://www.minambiente.gov.co/wp-content/uploads/2021/10/Poli%CC%81tica-Nacional-de-Gestio%CC%81n-Integral-de-la-Biodiver.pdf</w:t>
                  </w:r>
                </w:p>
                <w:p w14:paraId="05BA650C" w14:textId="77777777" w:rsidR="00FB0127" w:rsidRPr="008F3AB1" w:rsidRDefault="00FB0127" w:rsidP="00FB0127">
                  <w:pPr>
                    <w:pStyle w:val="Bibliografa"/>
                    <w:ind w:left="720" w:hanging="720"/>
                    <w:rPr>
                      <w:noProof/>
                      <w:lang w:val="es-ES_tradnl"/>
                    </w:rPr>
                  </w:pPr>
                  <w:r w:rsidRPr="008F3AB1">
                    <w:rPr>
                      <w:noProof/>
                      <w:lang w:val="es-ES_tradnl"/>
                    </w:rPr>
                    <w:t xml:space="preserve">Minagricultura. (febrero de 2024). </w:t>
                  </w:r>
                  <w:r w:rsidRPr="008F3AB1">
                    <w:rPr>
                      <w:i/>
                      <w:iCs/>
                      <w:noProof/>
                      <w:lang w:val="es-ES_tradnl"/>
                    </w:rPr>
                    <w:t>https://www.minagricultura.gov.co/noticias/Paginas/1-500-toneladas-de-aguacate-Hass-colombiano-le-pondr%C3%A1n-sabor-al-Super-Bowl,-el-m%C3%A1s-grande-evento-deportivo-de-Estados-Unido.aspx#:~:text=El%20aguacate%20Hass%20es%20la,a%20m%C3%A1s%20de%2030%20p</w:t>
                  </w:r>
                  <w:r w:rsidRPr="008F3AB1">
                    <w:rPr>
                      <w:noProof/>
                      <w:lang w:val="es-ES_tradnl"/>
                    </w:rPr>
                    <w:t>. Obtenido de https://www.minagricultura.gov.co/noticias/Paginas/1-500-toneladas-de-aguacate-Hass-colombiano-le-pondr%C3%A1n-sabor-al-Super-Bowl,-el-m%C3%A1s-grande-evento-deportivo-de-Estados-Unido.aspx#:~:text=El%20aguacate%20Hass%20es%20la,a%20m%C3%A1s%20de%2030%20p</w:t>
                  </w:r>
                </w:p>
                <w:p w14:paraId="5AC32D63" w14:textId="77777777" w:rsidR="00FB0127" w:rsidRPr="008F3AB1" w:rsidRDefault="00FB0127" w:rsidP="00FB0127">
                  <w:pPr>
                    <w:pStyle w:val="Bibliografa"/>
                    <w:ind w:left="720" w:hanging="720"/>
                    <w:rPr>
                      <w:noProof/>
                      <w:lang w:val="es-ES_tradnl"/>
                    </w:rPr>
                  </w:pPr>
                  <w:r w:rsidRPr="008F3AB1">
                    <w:rPr>
                      <w:noProof/>
                      <w:lang w:val="es-ES_tradnl"/>
                    </w:rPr>
                    <w:t xml:space="preserve">MinAmbiente. (2014). </w:t>
                  </w:r>
                  <w:r w:rsidRPr="008F3AB1">
                    <w:rPr>
                      <w:i/>
                      <w:iCs/>
                      <w:noProof/>
                      <w:lang w:val="es-ES_tradnl"/>
                    </w:rPr>
                    <w:t>Plan Nacional de Negocios Verdes.</w:t>
                  </w:r>
                  <w:r w:rsidRPr="008F3AB1">
                    <w:rPr>
                      <w:noProof/>
                      <w:lang w:val="es-ES_tradnl"/>
                    </w:rPr>
                    <w:t xml:space="preserve"> Ministerio de Ambiente y Desarrollo Sostenible , Bogotá. Obtenido de https://www.crautonoma.gov.co/documentos/negocio_verde/Plan_Nacional_de_Negocios_Verdes.pdf</w:t>
                  </w:r>
                </w:p>
                <w:p w14:paraId="0CB1195E" w14:textId="77777777" w:rsidR="00FB0127" w:rsidRPr="008F3AB1" w:rsidRDefault="00FB0127" w:rsidP="00FB0127">
                  <w:pPr>
                    <w:pStyle w:val="Bibliografa"/>
                    <w:ind w:left="720" w:hanging="720"/>
                    <w:rPr>
                      <w:noProof/>
                      <w:lang w:val="es-ES_tradnl"/>
                    </w:rPr>
                  </w:pPr>
                  <w:r w:rsidRPr="008F3AB1">
                    <w:rPr>
                      <w:noProof/>
                      <w:lang w:val="es-ES_tradnl"/>
                    </w:rPr>
                    <w:t xml:space="preserve">MinAmbiente. (2020). </w:t>
                  </w:r>
                  <w:r w:rsidRPr="008F3AB1">
                    <w:rPr>
                      <w:i/>
                      <w:iCs/>
                      <w:noProof/>
                      <w:lang w:val="es-ES_tradnl"/>
                    </w:rPr>
                    <w:t>Cadena productiva de aguacate.</w:t>
                  </w:r>
                  <w:r w:rsidRPr="008F3AB1">
                    <w:rPr>
                      <w:noProof/>
                      <w:lang w:val="es-ES_tradnl"/>
                    </w:rPr>
                    <w:t xml:space="preserve"> https://sioc.minagricultura.gov.co/Aguacate/Documentos/2020-12-31%20Cifras%20Sectoriales.pdf: </w:t>
                  </w:r>
                  <w:r w:rsidRPr="008F3AB1">
                    <w:rPr>
                      <w:noProof/>
                      <w:lang w:val="es-ES_tradnl"/>
                    </w:rPr>
                    <w:lastRenderedPageBreak/>
                    <w:t>https://sioc.minagricultura.gov.co/Aguacate/Documentos/2020-12-31%20Cifras%20Sectoriales.pdf.</w:t>
                  </w:r>
                </w:p>
                <w:p w14:paraId="0126DBEE" w14:textId="77777777" w:rsidR="00FB0127" w:rsidRPr="008F3AB1" w:rsidRDefault="00FB0127" w:rsidP="00FB0127">
                  <w:pPr>
                    <w:pStyle w:val="Bibliografa"/>
                    <w:ind w:left="720" w:hanging="720"/>
                    <w:rPr>
                      <w:noProof/>
                      <w:lang w:val="es-ES_tradnl"/>
                    </w:rPr>
                  </w:pPr>
                  <w:r w:rsidRPr="008F3AB1">
                    <w:rPr>
                      <w:noProof/>
                      <w:lang w:val="es-ES_tradnl"/>
                    </w:rPr>
                    <w:t xml:space="preserve">MinAmbiente. (2021). </w:t>
                  </w:r>
                  <w:r w:rsidRPr="008F3AB1">
                    <w:rPr>
                      <w:i/>
                      <w:iCs/>
                      <w:noProof/>
                      <w:lang w:val="es-ES_tradnl"/>
                    </w:rPr>
                    <w:t>Resolucion 1294 de 2021 Por la cual se establecen los lineamientos para el desarrollo de actividades agropecuarias de bajo impacto y ambientalmente sostenibles en páramos y se adoptan otras disposiciones”.</w:t>
                  </w:r>
                  <w:r w:rsidRPr="008F3AB1">
                    <w:rPr>
                      <w:noProof/>
                      <w:lang w:val="es-ES_tradnl"/>
                    </w:rPr>
                    <w:t xml:space="preserve"> Bogotá, D.C.</w:t>
                  </w:r>
                </w:p>
                <w:p w14:paraId="4ACFF674" w14:textId="77777777" w:rsidR="00FB0127" w:rsidRPr="008F3AB1" w:rsidRDefault="00FB0127" w:rsidP="00FB0127">
                  <w:pPr>
                    <w:pStyle w:val="Bibliografa"/>
                    <w:ind w:left="720" w:hanging="720"/>
                    <w:rPr>
                      <w:noProof/>
                      <w:lang w:val="es-ES_tradnl"/>
                    </w:rPr>
                  </w:pPr>
                  <w:r w:rsidRPr="008F3AB1">
                    <w:rPr>
                      <w:noProof/>
                      <w:lang w:val="es-ES_tradnl"/>
                    </w:rPr>
                    <w:t xml:space="preserve">Ministerio de agricultura y Desarrollo Rural . (2021). </w:t>
                  </w:r>
                  <w:r w:rsidRPr="008F3AB1">
                    <w:rPr>
                      <w:i/>
                      <w:iCs/>
                      <w:noProof/>
                      <w:lang w:val="es-ES_tradnl"/>
                    </w:rPr>
                    <w:t>Cadena productiva Aguacate.</w:t>
                  </w:r>
                  <w:r w:rsidRPr="008F3AB1">
                    <w:rPr>
                      <w:noProof/>
                      <w:lang w:val="es-ES_tradnl"/>
                    </w:rPr>
                    <w:t xml:space="preserve"> Obtenido de https://sioc.minagricultura.gov.co/Aguacate/Documentos/2021-03-31%20Cifras%20Sectoriales.pdff</w:t>
                  </w:r>
                </w:p>
                <w:p w14:paraId="272E9470" w14:textId="77777777" w:rsidR="00FB0127" w:rsidRPr="008F3AB1" w:rsidRDefault="00FB0127" w:rsidP="00FB0127">
                  <w:pPr>
                    <w:pStyle w:val="Bibliografa"/>
                    <w:ind w:left="720" w:hanging="720"/>
                    <w:rPr>
                      <w:noProof/>
                      <w:lang w:val="es-ES_tradnl"/>
                    </w:rPr>
                  </w:pPr>
                  <w:r w:rsidRPr="008F3AB1">
                    <w:rPr>
                      <w:noProof/>
                      <w:lang w:val="es-ES_tradnl"/>
                    </w:rPr>
                    <w:t xml:space="preserve">Ministerio de Ambiente y Desarrollo Sostenible. (2010). </w:t>
                  </w:r>
                  <w:r w:rsidRPr="008F3AB1">
                    <w:rPr>
                      <w:i/>
                      <w:iCs/>
                      <w:noProof/>
                      <w:lang w:val="es-ES_tradnl"/>
                    </w:rPr>
                    <w:t>Política nacional para la gestión integral del recurso hídrico.</w:t>
                  </w:r>
                  <w:r w:rsidRPr="008F3AB1">
                    <w:rPr>
                      <w:noProof/>
                      <w:lang w:val="es-ES_tradnl"/>
                    </w:rPr>
                    <w:t xml:space="preserve"> Bogotá.</w:t>
                  </w:r>
                </w:p>
                <w:p w14:paraId="410158E4" w14:textId="77777777" w:rsidR="00FB0127" w:rsidRPr="008F3AB1" w:rsidRDefault="00FB0127" w:rsidP="00FB0127">
                  <w:pPr>
                    <w:pStyle w:val="Bibliografa"/>
                    <w:ind w:left="720" w:hanging="720"/>
                    <w:rPr>
                      <w:noProof/>
                      <w:lang w:val="es-ES_tradnl"/>
                    </w:rPr>
                  </w:pPr>
                  <w:r w:rsidRPr="008F3AB1">
                    <w:rPr>
                      <w:noProof/>
                      <w:lang w:val="es-ES_tradnl"/>
                    </w:rPr>
                    <w:t xml:space="preserve">Ministerio de Ambiente y Desarrollo Sostenible. (2016). </w:t>
                  </w:r>
                  <w:r w:rsidRPr="008F3AB1">
                    <w:rPr>
                      <w:i/>
                      <w:iCs/>
                      <w:noProof/>
                      <w:lang w:val="es-ES_tradnl"/>
                    </w:rPr>
                    <w:t>Política para la gestión integral del recurso suelo.</w:t>
                  </w:r>
                  <w:r w:rsidRPr="008F3AB1">
                    <w:rPr>
                      <w:noProof/>
                      <w:lang w:val="es-ES_tradnl"/>
                    </w:rPr>
                    <w:t xml:space="preserve"> Bogotá.</w:t>
                  </w:r>
                </w:p>
                <w:p w14:paraId="6BBBF240" w14:textId="77777777" w:rsidR="00FB0127" w:rsidRPr="008F3AB1" w:rsidRDefault="00FB0127" w:rsidP="00FB0127">
                  <w:pPr>
                    <w:pStyle w:val="Bibliografa"/>
                    <w:ind w:left="720" w:hanging="720"/>
                    <w:rPr>
                      <w:noProof/>
                      <w:lang w:val="es-ES_tradnl"/>
                    </w:rPr>
                  </w:pPr>
                  <w:r w:rsidRPr="008F3AB1">
                    <w:rPr>
                      <w:noProof/>
                      <w:lang w:val="es-ES_tradnl"/>
                    </w:rPr>
                    <w:t xml:space="preserve">Ministerio de Medio Ambiente. (1997). </w:t>
                  </w:r>
                  <w:r w:rsidRPr="008F3AB1">
                    <w:rPr>
                      <w:i/>
                      <w:iCs/>
                      <w:noProof/>
                      <w:lang w:val="es-ES_tradnl"/>
                    </w:rPr>
                    <w:t>Politica Nacional de Producción Mas Limpia.</w:t>
                  </w:r>
                  <w:r w:rsidRPr="008F3AB1">
                    <w:rPr>
                      <w:noProof/>
                      <w:lang w:val="es-ES_tradnl"/>
                    </w:rPr>
                    <w:t xml:space="preserve"> Bogotá: Ministerio del Medio Ambiente. Obtenido de https://justiciaambientalcolombia.org/wp-content/uploads/2012/09/polc3adtica-nacional-de-produccic3b3n-mc3a1s-limpia2.pdf</w:t>
                  </w:r>
                </w:p>
                <w:p w14:paraId="24496FC5" w14:textId="77777777" w:rsidR="00FB0127" w:rsidRPr="008F3AB1" w:rsidRDefault="00FB0127" w:rsidP="00FB0127">
                  <w:pPr>
                    <w:pStyle w:val="Bibliografa"/>
                    <w:ind w:left="720" w:hanging="720"/>
                    <w:rPr>
                      <w:noProof/>
                      <w:lang w:val="es-ES_tradnl"/>
                    </w:rPr>
                  </w:pPr>
                  <w:r w:rsidRPr="008F3AB1">
                    <w:rPr>
                      <w:noProof/>
                      <w:lang w:val="es-ES_tradnl"/>
                    </w:rPr>
                    <w:t xml:space="preserve">Ministro de Agricultura y Desarrollo Rural. (2018). </w:t>
                  </w:r>
                  <w:r w:rsidRPr="008F3AB1">
                    <w:rPr>
                      <w:i/>
                      <w:iCs/>
                      <w:noProof/>
                      <w:lang w:val="es-ES_tradnl"/>
                    </w:rPr>
                    <w:t>Resolución 261 de 2018 Por medio de la cual se define la frontera agrícola nacional y se adopta la metodología para la identificación general.</w:t>
                  </w:r>
                  <w:r w:rsidRPr="008F3AB1">
                    <w:rPr>
                      <w:noProof/>
                      <w:lang w:val="es-ES_tradnl"/>
                    </w:rPr>
                    <w:t xml:space="preserve"> Bogotá. Obtenido de https://www.minagricultura.gov.co/Normatividad/Resoluciones/Resoluci%C3%B3n%20No%20000261%20de%202018.pdf</w:t>
                  </w:r>
                </w:p>
                <w:p w14:paraId="3051AF69" w14:textId="77777777" w:rsidR="00FB0127" w:rsidRPr="008F3AB1" w:rsidRDefault="00FB0127" w:rsidP="00FB0127">
                  <w:pPr>
                    <w:pStyle w:val="Bibliografa"/>
                    <w:ind w:left="720" w:hanging="720"/>
                    <w:rPr>
                      <w:noProof/>
                      <w:lang w:val="es-ES_tradnl"/>
                    </w:rPr>
                  </w:pPr>
                  <w:r w:rsidRPr="008F3AB1">
                    <w:rPr>
                      <w:i/>
                      <w:iCs/>
                      <w:noProof/>
                      <w:lang w:val="es-ES_tradnl"/>
                    </w:rPr>
                    <w:t>pagina oficial globalgap.org</w:t>
                  </w:r>
                  <w:r w:rsidRPr="008F3AB1">
                    <w:rPr>
                      <w:noProof/>
                      <w:lang w:val="es-ES_tradnl"/>
                    </w:rPr>
                    <w:t>. (s.f.).</w:t>
                  </w:r>
                </w:p>
                <w:p w14:paraId="48C316A0" w14:textId="77777777" w:rsidR="00FB0127" w:rsidRPr="008F3AB1" w:rsidRDefault="00FB0127" w:rsidP="00FB0127">
                  <w:pPr>
                    <w:pStyle w:val="Bibliografa"/>
                    <w:ind w:left="720" w:hanging="720"/>
                    <w:rPr>
                      <w:noProof/>
                      <w:lang w:val="es-ES_tradnl"/>
                    </w:rPr>
                  </w:pPr>
                  <w:r w:rsidRPr="008F3AB1">
                    <w:rPr>
                      <w:noProof/>
                      <w:lang w:val="es-ES_tradnl"/>
                    </w:rPr>
                    <w:t xml:space="preserve">Presidencia de la República. (1959). </w:t>
                  </w:r>
                  <w:r w:rsidRPr="008F3AB1">
                    <w:rPr>
                      <w:i/>
                      <w:iCs/>
                      <w:noProof/>
                      <w:lang w:val="es-ES_tradnl"/>
                    </w:rPr>
                    <w:t>Ley 2 de 1959 sobre Economía Forestal de la Nación y Conservación de Recursos Naturales Renovables.</w:t>
                  </w:r>
                  <w:r w:rsidRPr="008F3AB1">
                    <w:rPr>
                      <w:noProof/>
                      <w:lang w:val="es-ES_tradnl"/>
                    </w:rPr>
                    <w:t xml:space="preserve"> Bogotá.</w:t>
                  </w:r>
                </w:p>
                <w:p w14:paraId="7F47DCE6" w14:textId="77777777" w:rsidR="00FB0127" w:rsidRPr="008F3AB1" w:rsidRDefault="00FB0127" w:rsidP="00FB0127">
                  <w:pPr>
                    <w:pStyle w:val="Bibliografa"/>
                    <w:ind w:left="720" w:hanging="720"/>
                    <w:rPr>
                      <w:noProof/>
                      <w:lang w:val="es-ES_tradnl"/>
                    </w:rPr>
                  </w:pPr>
                  <w:r w:rsidRPr="008F3AB1">
                    <w:rPr>
                      <w:noProof/>
                      <w:lang w:val="es-ES_tradnl"/>
                    </w:rPr>
                    <w:t xml:space="preserve">Presidencia de la República de Colombia. (1974). </w:t>
                  </w:r>
                  <w:r w:rsidRPr="008F3AB1">
                    <w:rPr>
                      <w:i/>
                      <w:iCs/>
                      <w:noProof/>
                      <w:lang w:val="es-ES_tradnl"/>
                    </w:rPr>
                    <w:t>Decreto Ley 2811 de 1974 - Código de los recursos naturales.</w:t>
                  </w:r>
                  <w:r w:rsidRPr="008F3AB1">
                    <w:rPr>
                      <w:noProof/>
                      <w:lang w:val="es-ES_tradnl"/>
                    </w:rPr>
                    <w:t xml:space="preserve"> </w:t>
                  </w:r>
                </w:p>
                <w:p w14:paraId="02F26F86" w14:textId="77777777" w:rsidR="00FB0127" w:rsidRPr="008F3AB1" w:rsidRDefault="00FB0127" w:rsidP="00FB0127">
                  <w:pPr>
                    <w:pStyle w:val="Bibliografa"/>
                    <w:ind w:left="720" w:hanging="720"/>
                    <w:rPr>
                      <w:noProof/>
                      <w:lang w:val="es-ES_tradnl"/>
                    </w:rPr>
                  </w:pPr>
                  <w:r w:rsidRPr="008F3AB1">
                    <w:rPr>
                      <w:noProof/>
                      <w:lang w:val="es-ES_tradnl"/>
                    </w:rPr>
                    <w:t xml:space="preserve">Presidencia de la República de Colombia. (1991). </w:t>
                  </w:r>
                  <w:r w:rsidRPr="008F3AB1">
                    <w:rPr>
                      <w:i/>
                      <w:iCs/>
                      <w:noProof/>
                      <w:lang w:val="es-ES_tradnl"/>
                    </w:rPr>
                    <w:t>Decreto 1843 de 1991 Por el cual se reglamentan parcialmente los Títulos III, V,VI, VII Y XI de la Ley 09 de 1979, sobre uso y manejo de plaguicidas.</w:t>
                  </w:r>
                  <w:r w:rsidRPr="008F3AB1">
                    <w:rPr>
                      <w:noProof/>
                      <w:lang w:val="es-ES_tradnl"/>
                    </w:rPr>
                    <w:t xml:space="preserve"> Bogotá. Obtenido de https://www.dssa.gov.co/index.php/descargas/1011-decreto-1843-1991/file</w:t>
                  </w:r>
                </w:p>
                <w:p w14:paraId="29AD26D9" w14:textId="77777777" w:rsidR="00FB0127" w:rsidRPr="008F3AB1" w:rsidRDefault="00FB0127" w:rsidP="00FB0127">
                  <w:pPr>
                    <w:pStyle w:val="Bibliografa"/>
                    <w:ind w:left="720" w:hanging="720"/>
                    <w:rPr>
                      <w:noProof/>
                      <w:lang w:val="es-ES_tradnl"/>
                    </w:rPr>
                  </w:pPr>
                  <w:r w:rsidRPr="008F3AB1">
                    <w:rPr>
                      <w:noProof/>
                      <w:lang w:val="es-ES_tradnl"/>
                    </w:rPr>
                    <w:t xml:space="preserve">Presidencia de la Republica de Colombia. (2005). </w:t>
                  </w:r>
                  <w:r w:rsidRPr="008F3AB1">
                    <w:rPr>
                      <w:i/>
                      <w:iCs/>
                      <w:noProof/>
                      <w:lang w:val="es-ES_tradnl"/>
                    </w:rPr>
                    <w:t>DECRETO 838 DE 2005.</w:t>
                  </w:r>
                  <w:r w:rsidRPr="008F3AB1">
                    <w:rPr>
                      <w:noProof/>
                      <w:lang w:val="es-ES_tradnl"/>
                    </w:rPr>
                    <w:t xml:space="preserve"> Obtenido de https://www.funcionpublica.gov.co/eva/gestornormativo/norma.php?i=16123</w:t>
                  </w:r>
                </w:p>
                <w:p w14:paraId="72B80B07" w14:textId="77777777" w:rsidR="00FB0127" w:rsidRPr="008F3AB1" w:rsidRDefault="00FB0127" w:rsidP="00FB0127">
                  <w:pPr>
                    <w:pStyle w:val="Bibliografa"/>
                    <w:ind w:left="720" w:hanging="720"/>
                    <w:rPr>
                      <w:noProof/>
                      <w:lang w:val="es-ES_tradnl"/>
                    </w:rPr>
                  </w:pPr>
                  <w:r w:rsidRPr="008F3AB1">
                    <w:rPr>
                      <w:noProof/>
                      <w:lang w:val="es-ES_tradnl"/>
                    </w:rPr>
                    <w:t xml:space="preserve">Presidencia de la República de Colombia. (2010). </w:t>
                  </w:r>
                  <w:r w:rsidRPr="008F3AB1">
                    <w:rPr>
                      <w:i/>
                      <w:iCs/>
                      <w:noProof/>
                      <w:lang w:val="es-ES_tradnl"/>
                    </w:rPr>
                    <w:t>Decreto 2803 de 2010, Por el cual se reglamenta la Ley 1377 de 2010, sobre registro de cultivos forestales y sistemas agroforestales con fines comerciales, de plantaciones protectoras-productoras la movilización de productos forestales de transformación .</w:t>
                  </w:r>
                  <w:r w:rsidRPr="008F3AB1">
                    <w:rPr>
                      <w:noProof/>
                      <w:lang w:val="es-ES_tradnl"/>
                    </w:rPr>
                    <w:t xml:space="preserve"> Bogotá.</w:t>
                  </w:r>
                </w:p>
                <w:p w14:paraId="198C053B" w14:textId="77777777" w:rsidR="00FB0127" w:rsidRPr="008F3AB1" w:rsidRDefault="00FB0127" w:rsidP="00FB0127">
                  <w:pPr>
                    <w:pStyle w:val="Bibliografa"/>
                    <w:ind w:left="720" w:hanging="720"/>
                    <w:rPr>
                      <w:noProof/>
                      <w:lang w:val="es-ES_tradnl"/>
                    </w:rPr>
                  </w:pPr>
                  <w:r w:rsidRPr="008F3AB1">
                    <w:rPr>
                      <w:noProof/>
                      <w:lang w:val="es-ES_tradnl"/>
                    </w:rPr>
                    <w:t xml:space="preserve">Presidencia de la República de Colombia. (2015). </w:t>
                  </w:r>
                  <w:r w:rsidRPr="008F3AB1">
                    <w:rPr>
                      <w:i/>
                      <w:iCs/>
                      <w:noProof/>
                      <w:lang w:val="es-ES_tradnl"/>
                    </w:rPr>
                    <w:t>Decreto 1076 de 2015 Por medio del cual se expide el Decreto Único Reglamentario del Sector Ambiente y Desarrollo Sostenible.</w:t>
                  </w:r>
                  <w:r w:rsidRPr="008F3AB1">
                    <w:rPr>
                      <w:noProof/>
                      <w:lang w:val="es-ES_tradnl"/>
                    </w:rPr>
                    <w:t xml:space="preserve"> </w:t>
                  </w:r>
                </w:p>
                <w:p w14:paraId="2BB15B50" w14:textId="77777777" w:rsidR="00FB0127" w:rsidRPr="008F3AB1" w:rsidRDefault="00FB0127" w:rsidP="00FB0127">
                  <w:pPr>
                    <w:pStyle w:val="Bibliografa"/>
                    <w:ind w:left="720" w:hanging="720"/>
                    <w:rPr>
                      <w:noProof/>
                      <w:lang w:val="es-ES_tradnl"/>
                    </w:rPr>
                  </w:pPr>
                  <w:r w:rsidRPr="008F3AB1">
                    <w:rPr>
                      <w:noProof/>
                      <w:lang w:val="es-ES_tradnl"/>
                    </w:rPr>
                    <w:lastRenderedPageBreak/>
                    <w:t xml:space="preserve">Presidencia de la República de Colombia. (2015). </w:t>
                  </w:r>
                  <w:r w:rsidRPr="008F3AB1">
                    <w:rPr>
                      <w:i/>
                      <w:iCs/>
                      <w:noProof/>
                      <w:lang w:val="es-ES_tradnl"/>
                    </w:rPr>
                    <w:t>Decreto 1077 de 2015 "Por medio del cuál se expide el Decreto Único Reglamentario del Sector Vivienda, Ciudad y Territorio.".</w:t>
                  </w:r>
                  <w:r w:rsidRPr="008F3AB1">
                    <w:rPr>
                      <w:noProof/>
                      <w:lang w:val="es-ES_tradnl"/>
                    </w:rPr>
                    <w:t xml:space="preserve"> Bogotá.</w:t>
                  </w:r>
                </w:p>
                <w:p w14:paraId="4E08CC5A" w14:textId="77777777" w:rsidR="00FB0127" w:rsidRPr="008F3AB1" w:rsidRDefault="00FB0127" w:rsidP="00FB0127">
                  <w:pPr>
                    <w:pStyle w:val="Bibliografa"/>
                    <w:ind w:left="720" w:hanging="720"/>
                    <w:rPr>
                      <w:noProof/>
                      <w:lang w:val="es-ES_tradnl"/>
                    </w:rPr>
                  </w:pPr>
                  <w:r w:rsidRPr="008F3AB1">
                    <w:rPr>
                      <w:noProof/>
                      <w:lang w:val="es-ES_tradnl"/>
                    </w:rPr>
                    <w:t xml:space="preserve">Torres Madroñero, M. C. (2023). El mercado del aguacate en Colombia. </w:t>
                  </w:r>
                  <w:r w:rsidRPr="008F3AB1">
                    <w:rPr>
                      <w:i/>
                      <w:iCs/>
                      <w:noProof/>
                      <w:lang w:val="es-ES_tradnl"/>
                    </w:rPr>
                    <w:t>Apuntes del Cenes, 42</w:t>
                  </w:r>
                  <w:r w:rsidRPr="008F3AB1">
                    <w:rPr>
                      <w:noProof/>
                      <w:lang w:val="es-ES_tradnl"/>
                    </w:rPr>
                    <w:t>(75), 273-292.</w:t>
                  </w:r>
                </w:p>
                <w:p w14:paraId="42946CB1" w14:textId="77777777" w:rsidR="00FB0127" w:rsidRPr="008F3AB1" w:rsidRDefault="00FB0127" w:rsidP="00FB0127">
                  <w:pPr>
                    <w:pStyle w:val="Bibliografa"/>
                    <w:ind w:left="720" w:hanging="720"/>
                    <w:rPr>
                      <w:noProof/>
                      <w:lang w:val="es-ES_tradnl"/>
                    </w:rPr>
                  </w:pPr>
                  <w:r w:rsidRPr="008F3AB1">
                    <w:rPr>
                      <w:noProof/>
                      <w:lang w:val="es-ES_tradnl"/>
                    </w:rPr>
                    <w:t xml:space="preserve">Unidad de Planificación Rural Agropecuaria - UPRA. (2018). </w:t>
                  </w:r>
                  <w:r w:rsidRPr="008F3AB1">
                    <w:rPr>
                      <w:i/>
                      <w:iCs/>
                      <w:noProof/>
                      <w:lang w:val="es-ES_tradnl"/>
                    </w:rPr>
                    <w:t>Cultivo comercial de aguacate hass Identificación de zonas aptas en Colombia a escala 1:100.000.</w:t>
                  </w:r>
                  <w:r w:rsidRPr="008F3AB1">
                    <w:rPr>
                      <w:noProof/>
                      <w:lang w:val="es-ES_tradnl"/>
                    </w:rPr>
                    <w:t xml:space="preserve"> Bogotá, D.C.: UPRA.</w:t>
                  </w:r>
                </w:p>
                <w:p w14:paraId="531A8D87" w14:textId="77777777" w:rsidR="00FB0127" w:rsidRPr="008F3AB1" w:rsidRDefault="00FB0127" w:rsidP="00FB0127">
                  <w:pPr>
                    <w:pStyle w:val="Bibliografa"/>
                    <w:ind w:left="720" w:hanging="720"/>
                    <w:rPr>
                      <w:noProof/>
                      <w:lang w:val="es-ES_tradnl"/>
                    </w:rPr>
                  </w:pPr>
                  <w:r w:rsidRPr="008F3AB1">
                    <w:rPr>
                      <w:noProof/>
                      <w:lang w:val="es-ES_tradnl"/>
                    </w:rPr>
                    <w:t xml:space="preserve">Unidad de Planificación Rural Agropecuaria. (2025). </w:t>
                  </w:r>
                  <w:r w:rsidRPr="008F3AB1">
                    <w:rPr>
                      <w:i/>
                      <w:iCs/>
                      <w:noProof/>
                      <w:lang w:val="es-ES_tradnl"/>
                    </w:rPr>
                    <w:t>Evaluaciones Agropecuarias Municipales</w:t>
                  </w:r>
                  <w:r w:rsidRPr="008F3AB1">
                    <w:rPr>
                      <w:noProof/>
                      <w:lang w:val="es-ES_tradnl"/>
                    </w:rPr>
                    <w:t>. Obtenido de https://upra.gov.co/es-co/search/node?keys=eva%202024</w:t>
                  </w:r>
                </w:p>
                <w:p w14:paraId="178E1342" w14:textId="77777777" w:rsidR="00827A41" w:rsidRPr="00827A41" w:rsidRDefault="00827A41" w:rsidP="00FB0127">
                  <w:pPr>
                    <w:rPr>
                      <w:rFonts w:cs="Arial"/>
                    </w:rPr>
                  </w:pPr>
                  <w:r w:rsidRPr="008F3AB1">
                    <w:rPr>
                      <w:rFonts w:cs="Arial"/>
                      <w:b/>
                      <w:bCs/>
                    </w:rPr>
                    <w:fldChar w:fldCharType="end"/>
                  </w:r>
                </w:p>
              </w:sdtContent>
            </w:sdt>
          </w:sdtContent>
        </w:sdt>
      </w:sdtContent>
    </w:sdt>
    <w:sectPr w:rsidR="00827A41" w:rsidRPr="00827A41" w:rsidSect="00F42211">
      <w:headerReference w:type="default" r:id="rId14"/>
      <w:footerReference w:type="even" r:id="rId15"/>
      <w:footerReference w:type="default" r:id="rId16"/>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584BBD" w14:textId="77777777" w:rsidR="007C14B9" w:rsidRDefault="007C14B9" w:rsidP="0003659E">
      <w:pPr>
        <w:spacing w:after="0"/>
      </w:pPr>
      <w:r>
        <w:separator/>
      </w:r>
    </w:p>
  </w:endnote>
  <w:endnote w:type="continuationSeparator" w:id="0">
    <w:p w14:paraId="2B917EBB" w14:textId="77777777" w:rsidR="007C14B9" w:rsidRDefault="007C14B9" w:rsidP="000365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EU Albertina">
    <w:altName w:val="Cambria"/>
    <w:charset w:val="00"/>
    <w:family w:val="roman"/>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ptos">
    <w:altName w:val="Calibri"/>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Roboto">
    <w:charset w:val="00"/>
    <w:family w:val="auto"/>
    <w:pitch w:val="variable"/>
    <w:sig w:usb0="E0000AFF" w:usb1="5000217F" w:usb2="00000021" w:usb3="00000000" w:csb0="0000019F" w:csb1="00000000"/>
  </w:font>
  <w:font w:name="Humanist777BT-LightB">
    <w:altName w:val="Yu Gothic"/>
    <w:charset w:val="80"/>
    <w:family w:val="auto"/>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merodepgina"/>
      </w:rPr>
      <w:id w:val="126978486"/>
      <w:docPartObj>
        <w:docPartGallery w:val="Page Numbers (Bottom of Page)"/>
        <w:docPartUnique/>
      </w:docPartObj>
    </w:sdtPr>
    <w:sdtContent>
      <w:p w14:paraId="73F8BCF2" w14:textId="3DD3C6ED" w:rsidR="00CD7AEB" w:rsidRDefault="00CD7AEB" w:rsidP="00ED2982">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15BC0C67" w14:textId="77777777" w:rsidR="00CD7AEB" w:rsidRDefault="00CD7AEB" w:rsidP="002A4DCB">
    <w:pPr>
      <w:pStyle w:val="Piedepgina"/>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A56DC0" w14:textId="7E5420E3" w:rsidR="00CD7AEB" w:rsidRDefault="00CD7AEB" w:rsidP="00ED2982">
    <w:pPr>
      <w:pStyle w:val="Piedepgina"/>
      <w:framePr w:wrap="none" w:vAnchor="text" w:hAnchor="margin" w:xAlign="right" w:y="1"/>
      <w:rPr>
        <w:rStyle w:val="Nmerodepgina"/>
      </w:rPr>
    </w:pPr>
  </w:p>
  <w:p w14:paraId="398A21FB" w14:textId="732601A0" w:rsidR="00CD7AEB" w:rsidRDefault="00CD7AEB" w:rsidP="00356F83">
    <w:pPr>
      <w:pStyle w:val="Piedepgina"/>
      <w:spacing w:line="276" w:lineRule="auto"/>
      <w:rPr>
        <w:rFonts w:ascii="Verdana" w:hAnsi="Verdana" w:cs="Verdana"/>
        <w:color w:val="4D4D4D"/>
        <w:sz w:val="16"/>
        <w:szCs w:val="16"/>
      </w:rPr>
    </w:pPr>
    <w:r>
      <w:rPr>
        <w:noProof/>
        <w:lang w:val="en-US"/>
      </w:rPr>
      <w:drawing>
        <wp:anchor distT="0" distB="0" distL="114300" distR="114300" simplePos="0" relativeHeight="251661312" behindDoc="1" locked="0" layoutInCell="1" allowOverlap="1" wp14:anchorId="14194DE4" wp14:editId="43CB75C8">
          <wp:simplePos x="0" y="0"/>
          <wp:positionH relativeFrom="page">
            <wp:posOffset>635</wp:posOffset>
          </wp:positionH>
          <wp:positionV relativeFrom="paragraph">
            <wp:posOffset>-339134</wp:posOffset>
          </wp:positionV>
          <wp:extent cx="7809850" cy="1350645"/>
          <wp:effectExtent l="0" t="0" r="0" b="0"/>
          <wp:wrapNone/>
          <wp:docPr id="30685787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7870" name="Imagen 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809850" cy="1350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467AD8" w14:textId="77777777" w:rsidR="00CD7AEB" w:rsidRPr="00A378E4" w:rsidRDefault="00CD7AEB" w:rsidP="00356F83">
    <w:pPr>
      <w:pStyle w:val="Piedepgina"/>
      <w:spacing w:line="276" w:lineRule="auto"/>
      <w:rPr>
        <w:rFonts w:ascii="Verdana" w:hAnsi="Verdana" w:cs="Verdana"/>
        <w:color w:val="4D4D4D"/>
        <w:sz w:val="18"/>
        <w:szCs w:val="18"/>
      </w:rPr>
    </w:pPr>
  </w:p>
  <w:p w14:paraId="5DE9FD5A" w14:textId="6AEAD967" w:rsidR="00CD7AEB" w:rsidRPr="00A378E4" w:rsidRDefault="00CD7AEB" w:rsidP="00FB62C8">
    <w:pPr>
      <w:spacing w:after="0"/>
      <w:jc w:val="right"/>
      <w:rPr>
        <w:rFonts w:ascii="Verdana" w:hAnsi="Verdana" w:cs="Verdana"/>
        <w:color w:val="000000"/>
        <w:sz w:val="18"/>
        <w:szCs w:val="18"/>
      </w:rPr>
    </w:pPr>
    <w:r w:rsidRPr="00A378E4">
      <w:rPr>
        <w:rFonts w:ascii="Verdana" w:hAnsi="Verdana" w:cs="Verdana"/>
        <w:color w:val="000000"/>
        <w:sz w:val="18"/>
        <w:szCs w:val="18"/>
      </w:rPr>
      <w:t xml:space="preserve">F-E-SIG-41:V5 02-08-2024 </w:t>
    </w:r>
  </w:p>
  <w:p w14:paraId="3BA62358" w14:textId="2615E2BC" w:rsidR="00CD7AEB" w:rsidRPr="00A378E4" w:rsidRDefault="00CD7AEB" w:rsidP="00356F83">
    <w:pPr>
      <w:spacing w:after="0"/>
      <w:jc w:val="right"/>
      <w:rPr>
        <w:rStyle w:val="Nmerodepgina"/>
        <w:rFonts w:ascii="Verdana" w:hAnsi="Verdana"/>
        <w:color w:val="000000"/>
        <w:sz w:val="18"/>
        <w:szCs w:val="18"/>
      </w:rPr>
    </w:pPr>
    <w:r w:rsidRPr="00A378E4">
      <w:rPr>
        <w:rFonts w:ascii="Verdana" w:hAnsi="Verdana"/>
        <w:color w:val="000000"/>
        <w:sz w:val="18"/>
        <w:szCs w:val="18"/>
      </w:rPr>
      <w:t xml:space="preserve">Página </w:t>
    </w:r>
    <w:r w:rsidRPr="00A378E4">
      <w:rPr>
        <w:rFonts w:ascii="Verdana" w:hAnsi="Verdana"/>
        <w:color w:val="000000"/>
        <w:sz w:val="18"/>
        <w:szCs w:val="18"/>
      </w:rPr>
      <w:fldChar w:fldCharType="begin"/>
    </w:r>
    <w:r w:rsidRPr="00A378E4">
      <w:rPr>
        <w:rFonts w:ascii="Verdana" w:hAnsi="Verdana"/>
        <w:color w:val="000000"/>
        <w:sz w:val="18"/>
        <w:szCs w:val="18"/>
      </w:rPr>
      <w:instrText>PAGE   \* MERGEFORMAT</w:instrText>
    </w:r>
    <w:r w:rsidRPr="00A378E4">
      <w:rPr>
        <w:rFonts w:ascii="Verdana" w:hAnsi="Verdana"/>
        <w:color w:val="000000"/>
        <w:sz w:val="18"/>
        <w:szCs w:val="18"/>
      </w:rPr>
      <w:fldChar w:fldCharType="separate"/>
    </w:r>
    <w:r w:rsidR="002D77DA">
      <w:rPr>
        <w:rFonts w:ascii="Verdana" w:hAnsi="Verdana"/>
        <w:noProof/>
        <w:color w:val="000000"/>
        <w:sz w:val="18"/>
        <w:szCs w:val="18"/>
      </w:rPr>
      <w:t>69</w:t>
    </w:r>
    <w:r w:rsidRPr="00A378E4">
      <w:rPr>
        <w:rFonts w:ascii="Verdana" w:hAnsi="Verdana"/>
        <w:color w:val="000000"/>
        <w:sz w:val="18"/>
        <w:szCs w:val="18"/>
      </w:rPr>
      <w:fldChar w:fldCharType="end"/>
    </w:r>
    <w:r w:rsidRPr="00A378E4">
      <w:rPr>
        <w:rFonts w:ascii="Verdana" w:hAnsi="Verdana"/>
        <w:color w:val="000000"/>
        <w:sz w:val="18"/>
        <w:szCs w:val="18"/>
      </w:rPr>
      <w:t xml:space="preserve"> | </w:t>
    </w:r>
    <w:r w:rsidRPr="00A378E4">
      <w:rPr>
        <w:rFonts w:ascii="Verdana" w:hAnsi="Verdana"/>
        <w:color w:val="000000"/>
        <w:sz w:val="18"/>
        <w:szCs w:val="18"/>
      </w:rPr>
      <w:fldChar w:fldCharType="begin"/>
    </w:r>
    <w:r w:rsidRPr="00A378E4">
      <w:rPr>
        <w:rFonts w:ascii="Verdana" w:hAnsi="Verdana"/>
        <w:color w:val="000000"/>
        <w:sz w:val="18"/>
        <w:szCs w:val="18"/>
      </w:rPr>
      <w:instrText>NUMPAGES  \* Arabic  \* MERGEFORMAT</w:instrText>
    </w:r>
    <w:r w:rsidRPr="00A378E4">
      <w:rPr>
        <w:rFonts w:ascii="Verdana" w:hAnsi="Verdana"/>
        <w:color w:val="000000"/>
        <w:sz w:val="18"/>
        <w:szCs w:val="18"/>
      </w:rPr>
      <w:fldChar w:fldCharType="separate"/>
    </w:r>
    <w:r w:rsidR="002D77DA">
      <w:rPr>
        <w:rFonts w:ascii="Verdana" w:hAnsi="Verdana"/>
        <w:noProof/>
        <w:color w:val="000000"/>
        <w:sz w:val="18"/>
        <w:szCs w:val="18"/>
      </w:rPr>
      <w:t>69</w:t>
    </w:r>
    <w:r w:rsidRPr="00A378E4">
      <w:rPr>
        <w:rFonts w:ascii="Verdana" w:hAnsi="Verdana"/>
        <w:color w:val="000000"/>
        <w:sz w:val="18"/>
        <w:szCs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53B70F" w14:textId="77777777" w:rsidR="007C14B9" w:rsidRDefault="007C14B9" w:rsidP="0003659E">
      <w:pPr>
        <w:spacing w:after="0"/>
      </w:pPr>
      <w:r>
        <w:separator/>
      </w:r>
    </w:p>
  </w:footnote>
  <w:footnote w:type="continuationSeparator" w:id="0">
    <w:p w14:paraId="3E0EC45A" w14:textId="77777777" w:rsidR="007C14B9" w:rsidRDefault="007C14B9" w:rsidP="0003659E">
      <w:pPr>
        <w:spacing w:after="0"/>
      </w:pPr>
      <w:r>
        <w:continuationSeparator/>
      </w:r>
    </w:p>
  </w:footnote>
  <w:footnote w:id="1">
    <w:p w14:paraId="0C613D22" w14:textId="77777777" w:rsidR="00CD7AEB" w:rsidRPr="00C749F8" w:rsidRDefault="00CD7AEB" w:rsidP="00827A41">
      <w:pPr>
        <w:pStyle w:val="Default"/>
        <w:rPr>
          <w:rFonts w:ascii="Verdana" w:hAnsi="Verdana" w:cstheme="minorBidi"/>
          <w:color w:val="auto"/>
          <w:kern w:val="2"/>
          <w:sz w:val="10"/>
          <w:szCs w:val="10"/>
        </w:rPr>
      </w:pPr>
      <w:r w:rsidRPr="00ED1522">
        <w:rPr>
          <w:rFonts w:ascii="Verdana" w:hAnsi="Verdana" w:cstheme="minorBidi"/>
          <w:color w:val="auto"/>
          <w:kern w:val="2"/>
          <w:sz w:val="10"/>
          <w:szCs w:val="10"/>
        </w:rPr>
        <w:footnoteRef/>
      </w:r>
      <w:r w:rsidRPr="00FA403B">
        <w:rPr>
          <w:rFonts w:ascii="Verdana" w:hAnsi="Verdana" w:cstheme="minorBidi"/>
          <w:color w:val="auto"/>
          <w:kern w:val="2"/>
          <w:sz w:val="10"/>
          <w:szCs w:val="10"/>
        </w:rPr>
        <w:t xml:space="preserve"> </w:t>
      </w:r>
      <w:r w:rsidRPr="00951916">
        <w:rPr>
          <w:rFonts w:ascii="Verdana" w:hAnsi="Verdana"/>
          <w:i/>
          <w:iCs/>
          <w:sz w:val="14"/>
          <w:szCs w:val="14"/>
          <w:lang w:val="es-MX"/>
        </w:rPr>
        <w:t>Bases conceptuales, metodológicas y lineamientos de la reconversión productiva agropecuaria. Bogotá: UPRA.</w:t>
      </w:r>
    </w:p>
  </w:footnote>
  <w:footnote w:id="2">
    <w:p w14:paraId="0972F5A8" w14:textId="77777777" w:rsidR="00CD7AEB" w:rsidRPr="006C4F7A" w:rsidRDefault="00CD7AEB" w:rsidP="00827A41">
      <w:pPr>
        <w:pStyle w:val="Textonotapie"/>
        <w:rPr>
          <w:sz w:val="18"/>
          <w:szCs w:val="18"/>
        </w:rPr>
      </w:pPr>
      <w:r w:rsidRPr="006C4F7A">
        <w:rPr>
          <w:rStyle w:val="Refdenotaalpie"/>
          <w:sz w:val="18"/>
          <w:szCs w:val="18"/>
        </w:rPr>
        <w:footnoteRef/>
      </w:r>
      <w:r w:rsidRPr="006C4F7A">
        <w:rPr>
          <w:sz w:val="18"/>
          <w:szCs w:val="18"/>
        </w:rPr>
        <w:t xml:space="preserve"> Fuente sitio web: </w:t>
      </w:r>
      <w:hyperlink r:id="rId1" w:history="1">
        <w:r w:rsidRPr="006C4F7A">
          <w:rPr>
            <w:rStyle w:val="Hipervnculo"/>
            <w:sz w:val="18"/>
            <w:szCs w:val="18"/>
          </w:rPr>
          <w:t>https://www.mdpi.com/2073-4441/13/14/1942/htm</w:t>
        </w:r>
      </w:hyperlink>
      <w:r w:rsidRPr="006C4F7A">
        <w:rPr>
          <w:sz w:val="18"/>
          <w:szCs w:val="18"/>
        </w:rPr>
        <w:t xml:space="preserve"> (2021)</w:t>
      </w:r>
    </w:p>
  </w:footnote>
  <w:footnote w:id="3">
    <w:p w14:paraId="1A46D944" w14:textId="77777777" w:rsidR="00CD7AEB" w:rsidRPr="006C4F7A" w:rsidRDefault="00CD7AEB" w:rsidP="00827A41">
      <w:pPr>
        <w:pStyle w:val="Textonotapie"/>
      </w:pPr>
      <w:r w:rsidRPr="006C4F7A">
        <w:rPr>
          <w:rStyle w:val="Refdenotaalpie"/>
        </w:rPr>
        <w:footnoteRef/>
      </w:r>
      <w:r w:rsidRPr="006C4F7A">
        <w:t xml:space="preserve"> Territorio Aguacate. Corpo. Medellín. Diciembre 2 y 3 de 2021.</w:t>
      </w:r>
    </w:p>
  </w:footnote>
  <w:footnote w:id="4">
    <w:p w14:paraId="2B09D820" w14:textId="77777777" w:rsidR="00CD7AEB" w:rsidRPr="005E3E44" w:rsidRDefault="00CD7AEB" w:rsidP="00827A41">
      <w:pPr>
        <w:pStyle w:val="Textonotapie"/>
      </w:pPr>
      <w:r w:rsidRPr="006C4F7A">
        <w:rPr>
          <w:rStyle w:val="Refdenotaalpie"/>
        </w:rPr>
        <w:footnoteRef/>
      </w:r>
      <w:r w:rsidRPr="006C4F7A">
        <w:t xml:space="preserve"> Se comprende como fertirriego la aplicación de fertilizantes a través del agua de riego, de manera mecánica o automatizada</w:t>
      </w:r>
    </w:p>
  </w:footnote>
  <w:footnote w:id="5">
    <w:p w14:paraId="33B515F9" w14:textId="77777777" w:rsidR="00CD7AEB" w:rsidRDefault="00CD7AEB" w:rsidP="00827A41">
      <w:r w:rsidRPr="00D86213">
        <w:rPr>
          <w:sz w:val="18"/>
        </w:rPr>
        <w:footnoteRef/>
      </w:r>
      <w:r w:rsidRPr="00D86213">
        <w:rPr>
          <w:sz w:val="18"/>
        </w:rPr>
        <w:t xml:space="preserve"> </w:t>
      </w:r>
      <w:r w:rsidRPr="00D86213">
        <w:rPr>
          <w:rFonts w:eastAsia="Arial" w:cs="Arial"/>
          <w:sz w:val="18"/>
        </w:rPr>
        <w:t>Residuo peligroso: es aquel residuo que por sus características corrosivas, reactivas, explosivas, tóxicas, inflamables, infecciosas o radiactivas puede causar riesgo, daño o efectos no deseados, directos e indirectos a la salud humana y el ambiente. Así mismo, se considera residuo peligroso los empaques, envases y embalajes que estuvieron en contacto con ellos (Decreto 1076 de 2015, Título 6).</w:t>
      </w:r>
    </w:p>
  </w:footnote>
  <w:footnote w:id="6">
    <w:p w14:paraId="4518BCD6" w14:textId="77777777" w:rsidR="00CD7AEB" w:rsidRPr="00962D08" w:rsidRDefault="00CD7AEB" w:rsidP="00827A41">
      <w:pPr>
        <w:spacing w:after="0"/>
        <w:rPr>
          <w:rFonts w:eastAsia="Calibri" w:cs="Arial"/>
          <w:sz w:val="18"/>
        </w:rPr>
      </w:pPr>
      <w:r w:rsidRPr="00962D08">
        <w:rPr>
          <w:rFonts w:cs="Arial"/>
          <w:sz w:val="18"/>
        </w:rPr>
        <w:footnoteRef/>
      </w:r>
      <w:r w:rsidRPr="00962D08">
        <w:rPr>
          <w:rFonts w:cs="Arial"/>
          <w:sz w:val="18"/>
        </w:rPr>
        <w:t xml:space="preserve"> </w:t>
      </w:r>
      <w:r w:rsidRPr="00962D08">
        <w:rPr>
          <w:rFonts w:eastAsia="Calibri" w:cs="Arial"/>
          <w:sz w:val="18"/>
        </w:rPr>
        <w:t>Comprende los plaguicidas en desuso, envases o empaques y los embalajes que se hayan contaminado con plaguicidas provenientes del consumo del mercado nacional en sus usos agrícola, veterinario, doméstico, salud pública e industrial, entre otros (Minambiente, 2013).</w:t>
      </w:r>
    </w:p>
    <w:p w14:paraId="61112D3D" w14:textId="77777777" w:rsidR="00CD7AEB" w:rsidRPr="00962D08" w:rsidRDefault="00CD7AEB" w:rsidP="00827A41">
      <w:pPr>
        <w:rPr>
          <w:rFonts w:cs="Arial"/>
          <w:sz w:val="18"/>
        </w:rPr>
      </w:pPr>
    </w:p>
  </w:footnote>
  <w:footnote w:id="7">
    <w:p w14:paraId="6B0172A5" w14:textId="77777777" w:rsidR="00CD7AEB" w:rsidRPr="00962D08" w:rsidRDefault="00CD7AEB" w:rsidP="00827A41">
      <w:pPr>
        <w:rPr>
          <w:rFonts w:eastAsia="Arial" w:cs="Arial"/>
          <w:sz w:val="18"/>
        </w:rPr>
      </w:pPr>
      <w:r w:rsidRPr="00962D08">
        <w:rPr>
          <w:rFonts w:cs="Arial"/>
          <w:sz w:val="18"/>
        </w:rPr>
        <w:footnoteRef/>
      </w:r>
      <w:r w:rsidRPr="00962D08">
        <w:rPr>
          <w:rFonts w:cs="Arial"/>
          <w:sz w:val="18"/>
        </w:rPr>
        <w:t xml:space="preserve"> </w:t>
      </w:r>
      <w:r w:rsidRPr="00962D08">
        <w:rPr>
          <w:rFonts w:eastAsia="Calibri" w:cs="Arial"/>
          <w:sz w:val="18"/>
          <w:lang w:val="es"/>
        </w:rPr>
        <w:t>Los fabricantes e importadores son responsables por los impactos ambientales de sus productos a lo largo de su ciclo de vida, desde su diseño, extracción de materias primas, fabricación y comercialización hasta la etapa final del producto como residuo en la etapa posconsumo. En la aplicación de este principio, los productores deben organizar y financiar la gestión de los productos que ponen en el mercado al final de su vida útil cuando se convierten en residuos.</w:t>
      </w:r>
    </w:p>
  </w:footnote>
  <w:footnote w:id="8">
    <w:p w14:paraId="31981CF4" w14:textId="77777777" w:rsidR="00CD7AEB" w:rsidRPr="00962D08" w:rsidRDefault="00CD7AEB" w:rsidP="00827A41">
      <w:pPr>
        <w:rPr>
          <w:rFonts w:eastAsia="Arial" w:cs="Arial"/>
          <w:sz w:val="18"/>
        </w:rPr>
      </w:pPr>
      <w:r w:rsidRPr="00962D08">
        <w:rPr>
          <w:rFonts w:cs="Arial"/>
          <w:sz w:val="18"/>
        </w:rPr>
        <w:footnoteRef/>
      </w:r>
      <w:r w:rsidRPr="00962D08">
        <w:rPr>
          <w:rFonts w:cs="Arial"/>
          <w:sz w:val="18"/>
        </w:rPr>
        <w:t xml:space="preserve"> </w:t>
      </w:r>
      <w:r w:rsidRPr="00962D08">
        <w:rPr>
          <w:rFonts w:eastAsia="Calibri" w:cs="Arial"/>
          <w:sz w:val="18"/>
          <w:lang w:val="es"/>
        </w:rPr>
        <w:t>Instrumento de gestión que contienen el conjunto de reglas, acciones, procedimientos, y medios dispuestos para facilitar la devolución y acopio de productos posconsumo que al desecharse se convierten en residuos o desechos peligrosos, con el fin de que sean enviados a instalaciones en las que se sujetarán a procesos que permitirán su aprovechamiento y/o valoración, tratamiento y/o disposición final controlada.</w:t>
      </w:r>
    </w:p>
  </w:footnote>
  <w:footnote w:id="9">
    <w:p w14:paraId="339B7D9B" w14:textId="77777777" w:rsidR="00CD7AEB" w:rsidRDefault="00CD7AEB" w:rsidP="00827A41">
      <w:pPr>
        <w:rPr>
          <w:rFonts w:ascii="Calibri" w:eastAsia="Calibri" w:hAnsi="Calibri" w:cs="Calibri"/>
          <w:lang w:val="es"/>
        </w:rPr>
      </w:pPr>
      <w:r w:rsidRPr="00962D08">
        <w:rPr>
          <w:rFonts w:cs="Arial"/>
          <w:sz w:val="18"/>
        </w:rPr>
        <w:footnoteRef/>
      </w:r>
      <w:r w:rsidRPr="00962D08">
        <w:rPr>
          <w:rFonts w:cs="Arial"/>
          <w:sz w:val="18"/>
        </w:rPr>
        <w:t xml:space="preserve"> </w:t>
      </w:r>
      <w:r w:rsidRPr="00962D08">
        <w:rPr>
          <w:rFonts w:eastAsia="Calibri" w:cs="Arial"/>
          <w:sz w:val="18"/>
          <w:lang w:val="es-MX"/>
        </w:rPr>
        <w:t xml:space="preserve">Por la cual se establecen los elementos que deben contener los </w:t>
      </w:r>
      <w:r w:rsidRPr="00962D08">
        <w:rPr>
          <w:rFonts w:eastAsia="Calibri" w:cs="Arial"/>
          <w:i/>
          <w:iCs/>
          <w:sz w:val="18"/>
          <w:lang w:val="es"/>
        </w:rPr>
        <w:t>Planes de Gestión de Devolución de Productos Posconsumo</w:t>
      </w:r>
      <w:r w:rsidRPr="00962D08">
        <w:rPr>
          <w:rFonts w:eastAsia="Calibri" w:cs="Arial"/>
          <w:sz w:val="18"/>
          <w:lang w:val="es"/>
        </w:rPr>
        <w:t xml:space="preserve"> de Plaguicidas</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9"/>
      <w:gridCol w:w="4819"/>
      <w:gridCol w:w="2240"/>
    </w:tblGrid>
    <w:tr w:rsidR="00CD7AEB" w:rsidRPr="009E07BE" w14:paraId="230C7167" w14:textId="77777777" w:rsidTr="00997529">
      <w:trPr>
        <w:cantSplit/>
        <w:trHeight w:val="274"/>
      </w:trPr>
      <w:tc>
        <w:tcPr>
          <w:tcW w:w="2439" w:type="dxa"/>
          <w:vMerge w:val="restart"/>
          <w:vAlign w:val="center"/>
        </w:tcPr>
        <w:p w14:paraId="39692BBE" w14:textId="77777777" w:rsidR="00CD7AEB" w:rsidRPr="00997529" w:rsidRDefault="00CD7AEB" w:rsidP="00997529">
          <w:pPr>
            <w:spacing w:after="0"/>
            <w:jc w:val="center"/>
            <w:rPr>
              <w:rFonts w:ascii="Arial Narrow" w:eastAsia="Times New Roman" w:hAnsi="Arial Narrow" w:cs="Arial"/>
              <w:bCs/>
              <w:spacing w:val="-6"/>
              <w:sz w:val="18"/>
              <w:szCs w:val="18"/>
              <w:lang w:eastAsia="es-ES"/>
            </w:rPr>
          </w:pPr>
          <w:r w:rsidRPr="00997529">
            <w:rPr>
              <w:rFonts w:ascii="Arial Narrow" w:eastAsia="Times New Roman" w:hAnsi="Arial Narrow" w:cs="Arial"/>
              <w:bCs/>
              <w:spacing w:val="-6"/>
              <w:sz w:val="18"/>
              <w:szCs w:val="18"/>
              <w:lang w:eastAsia="es-ES"/>
            </w:rPr>
            <w:t>MINISTERIO DE AMBIENTE Y DESARROLLO SOSTENIBLE</w:t>
          </w:r>
        </w:p>
      </w:tc>
      <w:tc>
        <w:tcPr>
          <w:tcW w:w="4819" w:type="dxa"/>
          <w:shd w:val="clear" w:color="auto" w:fill="96BE55"/>
          <w:vAlign w:val="center"/>
        </w:tcPr>
        <w:p w14:paraId="12BFDF5C" w14:textId="44870952" w:rsidR="00CD7AEB" w:rsidRPr="00997529" w:rsidRDefault="00CD7AEB" w:rsidP="00997529">
          <w:pPr>
            <w:spacing w:before="60" w:after="0"/>
            <w:ind w:right="-40"/>
            <w:jc w:val="center"/>
            <w:rPr>
              <w:rFonts w:ascii="Arial Narrow" w:eastAsia="Times New Roman" w:hAnsi="Arial Narrow" w:cs="Arial"/>
              <w:b/>
              <w:bCs/>
              <w:spacing w:val="-6"/>
              <w:sz w:val="20"/>
              <w:szCs w:val="20"/>
              <w:lang w:eastAsia="es-ES"/>
            </w:rPr>
          </w:pPr>
          <w:r w:rsidRPr="00997529">
            <w:rPr>
              <w:rFonts w:ascii="Arial Narrow" w:eastAsia="Times New Roman" w:hAnsi="Arial Narrow" w:cs="Arial"/>
              <w:b/>
              <w:bCs/>
              <w:color w:val="000000" w:themeColor="text1"/>
              <w:spacing w:val="-6"/>
              <w:szCs w:val="20"/>
              <w:lang w:eastAsia="es-ES"/>
            </w:rPr>
            <w:t>NOMBRE DEL DOCUMENTO</w:t>
          </w:r>
        </w:p>
      </w:tc>
      <w:tc>
        <w:tcPr>
          <w:tcW w:w="2240" w:type="dxa"/>
          <w:vMerge w:val="restart"/>
          <w:vAlign w:val="center"/>
        </w:tcPr>
        <w:p w14:paraId="65E87CE6" w14:textId="67A5CBE6" w:rsidR="00CD7AEB" w:rsidRPr="00997529" w:rsidRDefault="00CD7AEB" w:rsidP="00997529">
          <w:pPr>
            <w:spacing w:after="0"/>
            <w:ind w:right="-42"/>
            <w:jc w:val="center"/>
            <w:rPr>
              <w:rFonts w:ascii="Arial Narrow" w:eastAsia="Times New Roman" w:hAnsi="Arial Narrow" w:cs="Arial"/>
              <w:b/>
              <w:bCs/>
              <w:spacing w:val="-6"/>
              <w:sz w:val="20"/>
              <w:szCs w:val="20"/>
              <w:lang w:eastAsia="es-ES"/>
            </w:rPr>
          </w:pPr>
          <w:r w:rsidRPr="00997529">
            <w:rPr>
              <w:rFonts w:ascii="Arial Narrow" w:eastAsia="Times New Roman" w:hAnsi="Arial Narrow" w:cs="Arial"/>
              <w:b/>
              <w:bCs/>
              <w:noProof/>
              <w:spacing w:val="-6"/>
              <w:sz w:val="20"/>
              <w:szCs w:val="20"/>
              <w:lang w:val="en-US"/>
            </w:rPr>
            <w:drawing>
              <wp:inline distT="0" distB="0" distL="0" distR="0" wp14:anchorId="450A5E49" wp14:editId="3FA1CDDB">
                <wp:extent cx="1051359" cy="327589"/>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
                          <a:extLst>
                            <a:ext uri="{28A0092B-C50C-407E-A947-70E740481C1C}">
                              <a14:useLocalDpi xmlns:a14="http://schemas.microsoft.com/office/drawing/2010/main" val="0"/>
                            </a:ext>
                          </a:extLst>
                        </a:blip>
                        <a:srcRect l="109" r="109"/>
                        <a:stretch>
                          <a:fillRect/>
                        </a:stretch>
                      </pic:blipFill>
                      <pic:spPr bwMode="auto">
                        <a:xfrm>
                          <a:off x="0" y="0"/>
                          <a:ext cx="1051359" cy="327589"/>
                        </a:xfrm>
                        <a:prstGeom prst="rect">
                          <a:avLst/>
                        </a:prstGeom>
                        <a:ln>
                          <a:noFill/>
                        </a:ln>
                        <a:extLst>
                          <a:ext uri="{53640926-AAD7-44D8-BBD7-CCE9431645EC}">
                            <a14:shadowObscured xmlns:a14="http://schemas.microsoft.com/office/drawing/2010/main"/>
                          </a:ext>
                        </a:extLst>
                      </pic:spPr>
                    </pic:pic>
                  </a:graphicData>
                </a:graphic>
              </wp:inline>
            </w:drawing>
          </w:r>
        </w:p>
      </w:tc>
    </w:tr>
    <w:tr w:rsidR="00CD7AEB" w:rsidRPr="009E07BE" w14:paraId="77E0D0AC" w14:textId="77777777" w:rsidTr="00997529">
      <w:trPr>
        <w:cantSplit/>
        <w:trHeight w:val="316"/>
      </w:trPr>
      <w:tc>
        <w:tcPr>
          <w:tcW w:w="2439" w:type="dxa"/>
          <w:vMerge/>
          <w:vAlign w:val="center"/>
        </w:tcPr>
        <w:p w14:paraId="2F673AD6" w14:textId="77777777" w:rsidR="00CD7AEB" w:rsidRPr="00997529" w:rsidRDefault="00CD7AEB" w:rsidP="00997529">
          <w:pPr>
            <w:spacing w:after="0"/>
            <w:jc w:val="center"/>
            <w:rPr>
              <w:rFonts w:ascii="Arial Narrow" w:eastAsia="Times New Roman" w:hAnsi="Arial Narrow" w:cs="Arial"/>
              <w:bCs/>
              <w:spacing w:val="-6"/>
              <w:szCs w:val="17"/>
              <w:lang w:eastAsia="es-ES"/>
            </w:rPr>
          </w:pPr>
        </w:p>
      </w:tc>
      <w:tc>
        <w:tcPr>
          <w:tcW w:w="4819" w:type="dxa"/>
          <w:shd w:val="clear" w:color="auto" w:fill="504F4E"/>
          <w:vAlign w:val="center"/>
        </w:tcPr>
        <w:p w14:paraId="2648E2FC" w14:textId="3F2EAA20" w:rsidR="00CD7AEB" w:rsidRPr="00997529" w:rsidRDefault="00CD7AEB" w:rsidP="00997529">
          <w:pPr>
            <w:spacing w:after="0"/>
            <w:ind w:right="-42"/>
            <w:jc w:val="center"/>
            <w:rPr>
              <w:rFonts w:ascii="Arial Narrow" w:eastAsia="Times New Roman" w:hAnsi="Arial Narrow" w:cs="Arial"/>
              <w:bCs/>
              <w:spacing w:val="-6"/>
              <w:sz w:val="20"/>
              <w:szCs w:val="20"/>
              <w:lang w:eastAsia="es-ES"/>
            </w:rPr>
          </w:pPr>
          <w:r w:rsidRPr="00997529">
            <w:rPr>
              <w:rFonts w:ascii="Arial Narrow" w:eastAsia="Times New Roman" w:hAnsi="Arial Narrow" w:cs="Arial"/>
              <w:b/>
              <w:bCs/>
              <w:color w:val="FFFFFF" w:themeColor="background1"/>
              <w:spacing w:val="-6"/>
              <w:sz w:val="20"/>
              <w:szCs w:val="20"/>
              <w:lang w:eastAsia="es-ES"/>
            </w:rPr>
            <w:t>Proceso: XXXXX XXX XXXXXX</w:t>
          </w:r>
        </w:p>
      </w:tc>
      <w:tc>
        <w:tcPr>
          <w:tcW w:w="2240" w:type="dxa"/>
          <w:vMerge/>
          <w:vAlign w:val="center"/>
        </w:tcPr>
        <w:p w14:paraId="55389CB6" w14:textId="77777777" w:rsidR="00CD7AEB" w:rsidRPr="00997529" w:rsidRDefault="00CD7AEB" w:rsidP="00997529">
          <w:pPr>
            <w:spacing w:after="0"/>
            <w:ind w:right="-42"/>
            <w:jc w:val="center"/>
            <w:rPr>
              <w:rFonts w:ascii="Arial Narrow" w:eastAsia="Times New Roman" w:hAnsi="Arial Narrow" w:cs="Arial"/>
              <w:bCs/>
              <w:spacing w:val="-6"/>
              <w:sz w:val="20"/>
              <w:szCs w:val="20"/>
              <w:lang w:eastAsia="es-ES"/>
            </w:rPr>
          </w:pPr>
        </w:p>
      </w:tc>
    </w:tr>
    <w:tr w:rsidR="00CD7AEB" w:rsidRPr="009E07BE" w14:paraId="71E5CEDA" w14:textId="77777777" w:rsidTr="00997529">
      <w:trPr>
        <w:cantSplit/>
        <w:trHeight w:val="273"/>
      </w:trPr>
      <w:tc>
        <w:tcPr>
          <w:tcW w:w="2439" w:type="dxa"/>
          <w:vAlign w:val="center"/>
        </w:tcPr>
        <w:p w14:paraId="06B25F88" w14:textId="47CDA6A7" w:rsidR="00CD7AEB" w:rsidRPr="00997529" w:rsidRDefault="00CD7AEB" w:rsidP="00997529">
          <w:pPr>
            <w:spacing w:after="0"/>
            <w:jc w:val="center"/>
            <w:rPr>
              <w:rFonts w:ascii="Arial Narrow" w:eastAsia="Times New Roman" w:hAnsi="Arial Narrow" w:cs="Arial"/>
              <w:bCs/>
              <w:spacing w:val="-6"/>
              <w:sz w:val="18"/>
              <w:szCs w:val="18"/>
              <w:lang w:val="en-US" w:eastAsia="es-ES"/>
            </w:rPr>
          </w:pPr>
          <w:r w:rsidRPr="00997529">
            <w:rPr>
              <w:rFonts w:ascii="Arial Narrow" w:hAnsi="Arial Narrow"/>
              <w:sz w:val="18"/>
              <w:szCs w:val="18"/>
            </w:rPr>
            <w:t>Versión: XXXX</w:t>
          </w:r>
        </w:p>
      </w:tc>
      <w:tc>
        <w:tcPr>
          <w:tcW w:w="4819" w:type="dxa"/>
          <w:vAlign w:val="center"/>
        </w:tcPr>
        <w:p w14:paraId="0407A06E" w14:textId="25D75B03" w:rsidR="00CD7AEB" w:rsidRPr="00997529" w:rsidRDefault="00CD7AEB" w:rsidP="00997529">
          <w:pPr>
            <w:spacing w:after="0"/>
            <w:ind w:right="-42"/>
            <w:jc w:val="center"/>
            <w:rPr>
              <w:rFonts w:ascii="Arial Narrow" w:eastAsia="Times New Roman" w:hAnsi="Arial Narrow" w:cs="Arial"/>
              <w:bCs/>
              <w:spacing w:val="-6"/>
              <w:sz w:val="18"/>
              <w:szCs w:val="18"/>
              <w:lang w:eastAsia="es-ES"/>
            </w:rPr>
          </w:pPr>
          <w:r w:rsidRPr="00997529">
            <w:rPr>
              <w:rFonts w:ascii="Arial Narrow" w:hAnsi="Arial Narrow"/>
              <w:sz w:val="18"/>
              <w:szCs w:val="18"/>
            </w:rPr>
            <w:t>Vigencia: DD/MM/AAAA</w:t>
          </w:r>
        </w:p>
      </w:tc>
      <w:tc>
        <w:tcPr>
          <w:tcW w:w="2240" w:type="dxa"/>
          <w:vAlign w:val="center"/>
        </w:tcPr>
        <w:p w14:paraId="33A23C08" w14:textId="7E53D081" w:rsidR="00CD7AEB" w:rsidRPr="00997529" w:rsidRDefault="00CD7AEB" w:rsidP="00997529">
          <w:pPr>
            <w:spacing w:after="0"/>
            <w:ind w:right="-42"/>
            <w:jc w:val="center"/>
            <w:rPr>
              <w:rFonts w:ascii="Arial Narrow" w:eastAsia="Times New Roman" w:hAnsi="Arial Narrow" w:cs="Arial"/>
              <w:bCs/>
              <w:spacing w:val="-6"/>
              <w:sz w:val="18"/>
              <w:szCs w:val="18"/>
              <w:lang w:eastAsia="es-ES"/>
            </w:rPr>
          </w:pPr>
          <w:r w:rsidRPr="00997529">
            <w:rPr>
              <w:rFonts w:ascii="Arial Narrow" w:hAnsi="Arial Narrow"/>
              <w:sz w:val="18"/>
              <w:szCs w:val="18"/>
            </w:rPr>
            <w:t>Código: X-X-XXX-XX</w:t>
          </w:r>
        </w:p>
      </w:tc>
    </w:tr>
  </w:tbl>
  <w:p w14:paraId="183D7A22" w14:textId="75A8685A" w:rsidR="00CD7AEB" w:rsidRDefault="00CD7AEB">
    <w:pPr>
      <w:pStyle w:val="Encabezado"/>
    </w:pPr>
    <w:r>
      <w:rPr>
        <w:rFonts w:ascii="Verdana" w:eastAsia="Times New Roman" w:hAnsi="Verdana" w:cs="Arial"/>
        <w:bCs/>
        <w:noProof/>
        <w:spacing w:val="-6"/>
        <w:sz w:val="20"/>
        <w:szCs w:val="20"/>
        <w:lang w:val="en-US"/>
      </w:rPr>
      <w:drawing>
        <wp:anchor distT="0" distB="0" distL="114300" distR="114300" simplePos="0" relativeHeight="251659264" behindDoc="1" locked="0" layoutInCell="1" allowOverlap="1" wp14:anchorId="5C43DFAF" wp14:editId="3BC9C94D">
          <wp:simplePos x="0" y="0"/>
          <wp:positionH relativeFrom="margin">
            <wp:posOffset>254889</wp:posOffset>
          </wp:positionH>
          <wp:positionV relativeFrom="paragraph">
            <wp:posOffset>3195066</wp:posOffset>
          </wp:positionV>
          <wp:extent cx="5101462" cy="1586091"/>
          <wp:effectExtent l="0" t="0" r="4445"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noChangeArrowheads="1"/>
                  </pic:cNvPicPr>
                </pic:nvPicPr>
                <pic:blipFill>
                  <a:blip r:embed="rId2">
                    <a:alphaModFix amt="50000"/>
                    <a:extLst>
                      <a:ext uri="{28A0092B-C50C-407E-A947-70E740481C1C}">
                        <a14:useLocalDpi xmlns:a14="http://schemas.microsoft.com/office/drawing/2010/main" val="0"/>
                      </a:ext>
                    </a:extLst>
                  </a:blip>
                  <a:stretch>
                    <a:fillRect/>
                  </a:stretch>
                </pic:blipFill>
                <pic:spPr bwMode="auto">
                  <a:xfrm>
                    <a:off x="0" y="0"/>
                    <a:ext cx="5101462" cy="1586091"/>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42308"/>
    <w:multiLevelType w:val="multilevel"/>
    <w:tmpl w:val="51046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EE727C"/>
    <w:multiLevelType w:val="multilevel"/>
    <w:tmpl w:val="79AAE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4D51B7F"/>
    <w:multiLevelType w:val="hybridMultilevel"/>
    <w:tmpl w:val="DD3CD10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5C34625"/>
    <w:multiLevelType w:val="multilevel"/>
    <w:tmpl w:val="6EC6097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65E6306"/>
    <w:multiLevelType w:val="multilevel"/>
    <w:tmpl w:val="4CC0DD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926466"/>
    <w:multiLevelType w:val="hybridMultilevel"/>
    <w:tmpl w:val="D1A41B2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14A7ADF"/>
    <w:multiLevelType w:val="multilevel"/>
    <w:tmpl w:val="0409001F"/>
    <w:lvl w:ilvl="0">
      <w:start w:val="1"/>
      <w:numFmt w:val="decimal"/>
      <w:lvlText w:val="%1."/>
      <w:lvlJc w:val="left"/>
      <w:pPr>
        <w:ind w:left="2771" w:hanging="360"/>
      </w:pPr>
    </w:lvl>
    <w:lvl w:ilvl="1">
      <w:start w:val="1"/>
      <w:numFmt w:val="decimal"/>
      <w:lvlText w:val="%1.%2."/>
      <w:lvlJc w:val="left"/>
      <w:pPr>
        <w:ind w:left="574" w:hanging="432"/>
      </w:pPr>
    </w:lvl>
    <w:lvl w:ilvl="2">
      <w:start w:val="1"/>
      <w:numFmt w:val="decimal"/>
      <w:lvlText w:val="%1.%2.%3."/>
      <w:lvlJc w:val="left"/>
      <w:pPr>
        <w:ind w:left="504" w:hanging="504"/>
      </w:pPr>
    </w:lvl>
    <w:lvl w:ilvl="3">
      <w:start w:val="1"/>
      <w:numFmt w:val="decimal"/>
      <w:lvlText w:val="%1.%2.%3.%4."/>
      <w:lvlJc w:val="left"/>
      <w:pPr>
        <w:ind w:left="64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1965957"/>
    <w:multiLevelType w:val="hybridMultilevel"/>
    <w:tmpl w:val="39F0FE50"/>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start w:val="1"/>
      <w:numFmt w:val="bullet"/>
      <w:lvlText w:val="o"/>
      <w:lvlJc w:val="left"/>
      <w:pPr>
        <w:ind w:left="10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8" w15:restartNumberingAfterBreak="0">
    <w:nsid w:val="12C70024"/>
    <w:multiLevelType w:val="hybridMultilevel"/>
    <w:tmpl w:val="CAE653CA"/>
    <w:lvl w:ilvl="0" w:tplc="E8500252">
      <w:start w:val="1"/>
      <w:numFmt w:val="decimal"/>
      <w:lvlText w:val="%1."/>
      <w:lvlJc w:val="left"/>
      <w:pPr>
        <w:ind w:left="360" w:hanging="360"/>
      </w:pPr>
      <w:rPr>
        <w:rFonts w:ascii="Arial" w:eastAsiaTheme="minorHAnsi" w:hAnsi="Arial" w:cs="Arial"/>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8994AE5"/>
    <w:multiLevelType w:val="multilevel"/>
    <w:tmpl w:val="12AE212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1DAC7B40"/>
    <w:multiLevelType w:val="multilevel"/>
    <w:tmpl w:val="17626534"/>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ascii="Arial" w:hAnsi="Arial" w:hint="default"/>
        <w:b/>
      </w:rPr>
    </w:lvl>
    <w:lvl w:ilvl="2">
      <w:start w:val="1"/>
      <w:numFmt w:val="decimal"/>
      <w:isLgl/>
      <w:lvlText w:val="%1.%2.%3"/>
      <w:lvlJc w:val="left"/>
      <w:pPr>
        <w:ind w:left="2520" w:hanging="720"/>
      </w:pPr>
      <w:rPr>
        <w:rFonts w:ascii="Arial" w:hAnsi="Arial" w:hint="default"/>
        <w:b/>
      </w:rPr>
    </w:lvl>
    <w:lvl w:ilvl="3">
      <w:start w:val="1"/>
      <w:numFmt w:val="decimal"/>
      <w:isLgl/>
      <w:lvlText w:val="%1.%2.%3.%4"/>
      <w:lvlJc w:val="left"/>
      <w:pPr>
        <w:ind w:left="3240" w:hanging="720"/>
      </w:pPr>
      <w:rPr>
        <w:rFonts w:ascii="Arial" w:hAnsi="Arial" w:hint="default"/>
        <w:b/>
      </w:rPr>
    </w:lvl>
    <w:lvl w:ilvl="4">
      <w:start w:val="1"/>
      <w:numFmt w:val="decimal"/>
      <w:isLgl/>
      <w:lvlText w:val="%1.%2.%3.%4.%5"/>
      <w:lvlJc w:val="left"/>
      <w:pPr>
        <w:ind w:left="4320" w:hanging="1080"/>
      </w:pPr>
      <w:rPr>
        <w:rFonts w:ascii="Arial" w:hAnsi="Arial" w:hint="default"/>
        <w:b/>
      </w:rPr>
    </w:lvl>
    <w:lvl w:ilvl="5">
      <w:start w:val="1"/>
      <w:numFmt w:val="decimal"/>
      <w:isLgl/>
      <w:lvlText w:val="%1.%2.%3.%4.%5.%6"/>
      <w:lvlJc w:val="left"/>
      <w:pPr>
        <w:ind w:left="5040" w:hanging="1080"/>
      </w:pPr>
      <w:rPr>
        <w:rFonts w:ascii="Arial" w:hAnsi="Arial" w:hint="default"/>
        <w:b/>
      </w:rPr>
    </w:lvl>
    <w:lvl w:ilvl="6">
      <w:start w:val="1"/>
      <w:numFmt w:val="decimal"/>
      <w:isLgl/>
      <w:lvlText w:val="%1.%2.%3.%4.%5.%6.%7"/>
      <w:lvlJc w:val="left"/>
      <w:pPr>
        <w:ind w:left="6120" w:hanging="1440"/>
      </w:pPr>
      <w:rPr>
        <w:rFonts w:ascii="Arial" w:hAnsi="Arial" w:hint="default"/>
        <w:b/>
      </w:rPr>
    </w:lvl>
    <w:lvl w:ilvl="7">
      <w:start w:val="1"/>
      <w:numFmt w:val="decimal"/>
      <w:isLgl/>
      <w:lvlText w:val="%1.%2.%3.%4.%5.%6.%7.%8"/>
      <w:lvlJc w:val="left"/>
      <w:pPr>
        <w:ind w:left="6840" w:hanging="1440"/>
      </w:pPr>
      <w:rPr>
        <w:rFonts w:ascii="Arial" w:hAnsi="Arial" w:hint="default"/>
        <w:b/>
      </w:rPr>
    </w:lvl>
    <w:lvl w:ilvl="8">
      <w:start w:val="1"/>
      <w:numFmt w:val="decimal"/>
      <w:isLgl/>
      <w:lvlText w:val="%1.%2.%3.%4.%5.%6.%7.%8.%9"/>
      <w:lvlJc w:val="left"/>
      <w:pPr>
        <w:ind w:left="7560" w:hanging="1440"/>
      </w:pPr>
      <w:rPr>
        <w:rFonts w:ascii="Arial" w:hAnsi="Arial" w:hint="default"/>
        <w:b/>
      </w:rPr>
    </w:lvl>
  </w:abstractNum>
  <w:abstractNum w:abstractNumId="11" w15:restartNumberingAfterBreak="0">
    <w:nsid w:val="1DDC33FA"/>
    <w:multiLevelType w:val="multilevel"/>
    <w:tmpl w:val="54886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E2C235A"/>
    <w:multiLevelType w:val="multilevel"/>
    <w:tmpl w:val="B66A88F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EB3601D"/>
    <w:multiLevelType w:val="hybridMultilevel"/>
    <w:tmpl w:val="19121B1A"/>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4" w15:restartNumberingAfterBreak="0">
    <w:nsid w:val="23605057"/>
    <w:multiLevelType w:val="multilevel"/>
    <w:tmpl w:val="DC2889A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3F400D4"/>
    <w:multiLevelType w:val="multilevel"/>
    <w:tmpl w:val="C5445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76D2958"/>
    <w:multiLevelType w:val="multilevel"/>
    <w:tmpl w:val="BAFA9D1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B7F6406"/>
    <w:multiLevelType w:val="multilevel"/>
    <w:tmpl w:val="C05E47E0"/>
    <w:lvl w:ilvl="0">
      <w:start w:val="1"/>
      <w:numFmt w:val="decimal"/>
      <w:lvlText w:val="%1."/>
      <w:lvlJc w:val="left"/>
      <w:pPr>
        <w:tabs>
          <w:tab w:val="num" w:pos="720"/>
        </w:tabs>
        <w:ind w:left="720" w:hanging="360"/>
      </w:pPr>
      <w:rPr>
        <w:rFonts w:ascii="Arial" w:eastAsia="Times New Roman" w:hAnsi="Arial" w:cs="Arial"/>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D1702D3"/>
    <w:multiLevelType w:val="multilevel"/>
    <w:tmpl w:val="6B0AE35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360" w:hanging="360"/>
      </w:pPr>
      <w:rPr>
        <w:rFonts w:ascii="Arial" w:eastAsiaTheme="minorHAnsi" w:hAnsi="Arial" w:cs="Arial"/>
        <w:b/>
        <w:bCs/>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E0F2E6B"/>
    <w:multiLevelType w:val="hybridMultilevel"/>
    <w:tmpl w:val="83F61C30"/>
    <w:lvl w:ilvl="0" w:tplc="080A0003">
      <w:start w:val="1"/>
      <w:numFmt w:val="bullet"/>
      <w:lvlText w:val="o"/>
      <w:lvlJc w:val="left"/>
      <w:pPr>
        <w:ind w:left="360" w:hanging="360"/>
      </w:pPr>
      <w:rPr>
        <w:rFonts w:ascii="Courier New" w:hAnsi="Courier New" w:cs="Courier New" w:hint="default"/>
      </w:rPr>
    </w:lvl>
    <w:lvl w:ilvl="1" w:tplc="080A0003" w:tentative="1">
      <w:start w:val="1"/>
      <w:numFmt w:val="bullet"/>
      <w:lvlText w:val="o"/>
      <w:lvlJc w:val="left"/>
      <w:pPr>
        <w:ind w:left="2215" w:hanging="360"/>
      </w:pPr>
      <w:rPr>
        <w:rFonts w:ascii="Courier New" w:hAnsi="Courier New" w:cs="Courier New" w:hint="default"/>
      </w:rPr>
    </w:lvl>
    <w:lvl w:ilvl="2" w:tplc="080A0005" w:tentative="1">
      <w:start w:val="1"/>
      <w:numFmt w:val="bullet"/>
      <w:lvlText w:val=""/>
      <w:lvlJc w:val="left"/>
      <w:pPr>
        <w:ind w:left="2935" w:hanging="360"/>
      </w:pPr>
      <w:rPr>
        <w:rFonts w:ascii="Wingdings" w:hAnsi="Wingdings" w:hint="default"/>
      </w:rPr>
    </w:lvl>
    <w:lvl w:ilvl="3" w:tplc="080A0001" w:tentative="1">
      <w:start w:val="1"/>
      <w:numFmt w:val="bullet"/>
      <w:lvlText w:val=""/>
      <w:lvlJc w:val="left"/>
      <w:pPr>
        <w:ind w:left="3655" w:hanging="360"/>
      </w:pPr>
      <w:rPr>
        <w:rFonts w:ascii="Symbol" w:hAnsi="Symbol" w:hint="default"/>
      </w:rPr>
    </w:lvl>
    <w:lvl w:ilvl="4" w:tplc="080A0003" w:tentative="1">
      <w:start w:val="1"/>
      <w:numFmt w:val="bullet"/>
      <w:lvlText w:val="o"/>
      <w:lvlJc w:val="left"/>
      <w:pPr>
        <w:ind w:left="4375" w:hanging="360"/>
      </w:pPr>
      <w:rPr>
        <w:rFonts w:ascii="Courier New" w:hAnsi="Courier New" w:cs="Courier New" w:hint="default"/>
      </w:rPr>
    </w:lvl>
    <w:lvl w:ilvl="5" w:tplc="080A0005" w:tentative="1">
      <w:start w:val="1"/>
      <w:numFmt w:val="bullet"/>
      <w:lvlText w:val=""/>
      <w:lvlJc w:val="left"/>
      <w:pPr>
        <w:ind w:left="5095" w:hanging="360"/>
      </w:pPr>
      <w:rPr>
        <w:rFonts w:ascii="Wingdings" w:hAnsi="Wingdings" w:hint="default"/>
      </w:rPr>
    </w:lvl>
    <w:lvl w:ilvl="6" w:tplc="080A0001" w:tentative="1">
      <w:start w:val="1"/>
      <w:numFmt w:val="bullet"/>
      <w:lvlText w:val=""/>
      <w:lvlJc w:val="left"/>
      <w:pPr>
        <w:ind w:left="5815" w:hanging="360"/>
      </w:pPr>
      <w:rPr>
        <w:rFonts w:ascii="Symbol" w:hAnsi="Symbol" w:hint="default"/>
      </w:rPr>
    </w:lvl>
    <w:lvl w:ilvl="7" w:tplc="080A0003" w:tentative="1">
      <w:start w:val="1"/>
      <w:numFmt w:val="bullet"/>
      <w:lvlText w:val="o"/>
      <w:lvlJc w:val="left"/>
      <w:pPr>
        <w:ind w:left="6535" w:hanging="360"/>
      </w:pPr>
      <w:rPr>
        <w:rFonts w:ascii="Courier New" w:hAnsi="Courier New" w:cs="Courier New" w:hint="default"/>
      </w:rPr>
    </w:lvl>
    <w:lvl w:ilvl="8" w:tplc="080A0005" w:tentative="1">
      <w:start w:val="1"/>
      <w:numFmt w:val="bullet"/>
      <w:lvlText w:val=""/>
      <w:lvlJc w:val="left"/>
      <w:pPr>
        <w:ind w:left="7255" w:hanging="360"/>
      </w:pPr>
      <w:rPr>
        <w:rFonts w:ascii="Wingdings" w:hAnsi="Wingdings" w:hint="default"/>
      </w:rPr>
    </w:lvl>
  </w:abstractNum>
  <w:abstractNum w:abstractNumId="20" w15:restartNumberingAfterBreak="0">
    <w:nsid w:val="2FCB328D"/>
    <w:multiLevelType w:val="hybridMultilevel"/>
    <w:tmpl w:val="3A0A25B4"/>
    <w:lvl w:ilvl="0" w:tplc="8DE654B0">
      <w:start w:val="1"/>
      <w:numFmt w:val="bullet"/>
      <w:lvlText w:val="-"/>
      <w:lvlJc w:val="left"/>
      <w:pPr>
        <w:ind w:left="720" w:hanging="360"/>
      </w:pPr>
      <w:rPr>
        <w:rFonts w:ascii="Arial" w:eastAsia="Times New Roman" w:hAnsi="Arial" w:cs="Arial" w:hint="default"/>
        <w:sz w:val="2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14A1513"/>
    <w:multiLevelType w:val="multilevel"/>
    <w:tmpl w:val="65B8DFA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 w15:restartNumberingAfterBreak="0">
    <w:nsid w:val="36C1377A"/>
    <w:multiLevelType w:val="multilevel"/>
    <w:tmpl w:val="E470595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36D30DD2"/>
    <w:multiLevelType w:val="hybridMultilevel"/>
    <w:tmpl w:val="766438C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E498170A">
      <w:start w:val="1"/>
      <w:numFmt w:val="decimal"/>
      <w:lvlText w:val="%4."/>
      <w:lvlJc w:val="left"/>
      <w:pPr>
        <w:ind w:left="644" w:hanging="360"/>
      </w:pPr>
      <w:rPr>
        <w:b/>
        <w:bCs/>
      </w:rPr>
    </w:lvl>
    <w:lvl w:ilvl="4" w:tplc="240A0019">
      <w:start w:val="1"/>
      <w:numFmt w:val="lowerLetter"/>
      <w:lvlText w:val="%5."/>
      <w:lvlJc w:val="left"/>
      <w:pPr>
        <w:ind w:left="3600" w:hanging="360"/>
      </w:pPr>
    </w:lvl>
    <w:lvl w:ilvl="5" w:tplc="6ADCD424">
      <w:start w:val="1"/>
      <w:numFmt w:val="upperLetter"/>
      <w:lvlText w:val="%6."/>
      <w:lvlJc w:val="left"/>
      <w:pPr>
        <w:ind w:left="4500" w:hanging="360"/>
      </w:pPr>
      <w:rPr>
        <w:rFonts w:hint="default"/>
      </w:rPr>
    </w:lvl>
    <w:lvl w:ilvl="6" w:tplc="5860D7F0">
      <w:start w:val="1"/>
      <w:numFmt w:val="bullet"/>
      <w:lvlText w:val="-"/>
      <w:lvlJc w:val="left"/>
      <w:pPr>
        <w:ind w:left="5040" w:hanging="360"/>
      </w:pPr>
      <w:rPr>
        <w:rFonts w:ascii="Arial" w:eastAsiaTheme="minorHAnsi" w:hAnsi="Arial" w:cs="Arial" w:hint="default"/>
      </w:rPr>
    </w:lvl>
    <w:lvl w:ilvl="7" w:tplc="396A2050">
      <w:start w:val="1"/>
      <w:numFmt w:val="lowerRoman"/>
      <w:lvlText w:val="(%8)"/>
      <w:lvlJc w:val="left"/>
      <w:pPr>
        <w:ind w:left="6120" w:hanging="720"/>
      </w:pPr>
      <w:rPr>
        <w:rFonts w:hint="default"/>
      </w:rPr>
    </w:lvl>
    <w:lvl w:ilvl="8" w:tplc="240A001B" w:tentative="1">
      <w:start w:val="1"/>
      <w:numFmt w:val="lowerRoman"/>
      <w:lvlText w:val="%9."/>
      <w:lvlJc w:val="right"/>
      <w:pPr>
        <w:ind w:left="6480" w:hanging="180"/>
      </w:pPr>
    </w:lvl>
  </w:abstractNum>
  <w:abstractNum w:abstractNumId="24" w15:restartNumberingAfterBreak="0">
    <w:nsid w:val="38182AFC"/>
    <w:multiLevelType w:val="hybridMultilevel"/>
    <w:tmpl w:val="79B0C3D6"/>
    <w:lvl w:ilvl="0" w:tplc="1172AB7E">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3A4D4891"/>
    <w:multiLevelType w:val="hybridMultilevel"/>
    <w:tmpl w:val="DF683F54"/>
    <w:lvl w:ilvl="0" w:tplc="3EC0C4C2">
      <w:start w:val="1"/>
      <w:numFmt w:val="decimal"/>
      <w:lvlText w:val="%1."/>
      <w:lvlJc w:val="left"/>
      <w:pPr>
        <w:ind w:left="720" w:hanging="360"/>
      </w:pPr>
      <w:rPr>
        <w:rFonts w:eastAsiaTheme="minorHAnsi"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B430E7"/>
    <w:multiLevelType w:val="multilevel"/>
    <w:tmpl w:val="AF5E3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BC95364"/>
    <w:multiLevelType w:val="multilevel"/>
    <w:tmpl w:val="EECC93AE"/>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42796D1F"/>
    <w:multiLevelType w:val="hybridMultilevel"/>
    <w:tmpl w:val="17D232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42FC0683"/>
    <w:multiLevelType w:val="hybridMultilevel"/>
    <w:tmpl w:val="B2EA52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4454B11"/>
    <w:multiLevelType w:val="hybridMultilevel"/>
    <w:tmpl w:val="C42EAAD6"/>
    <w:lvl w:ilvl="0" w:tplc="815C06C0">
      <w:start w:val="1"/>
      <w:numFmt w:val="decimal"/>
      <w:lvlText w:val="%1."/>
      <w:lvlJc w:val="left"/>
      <w:pPr>
        <w:ind w:left="720" w:hanging="360"/>
      </w:pPr>
      <w:rPr>
        <w:rFonts w:ascii="Arial" w:eastAsiaTheme="minorHAnsi" w:hAnsi="Arial" w:cs="Arial"/>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4AE05F1"/>
    <w:multiLevelType w:val="multilevel"/>
    <w:tmpl w:val="527852D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 w15:restartNumberingAfterBreak="0">
    <w:nsid w:val="4528571A"/>
    <w:multiLevelType w:val="multilevel"/>
    <w:tmpl w:val="9B8E3A8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5BD1A65"/>
    <w:multiLevelType w:val="multilevel"/>
    <w:tmpl w:val="240A001F"/>
    <w:styleLink w:val="Estilo1"/>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8E54D95"/>
    <w:multiLevelType w:val="multilevel"/>
    <w:tmpl w:val="14960362"/>
    <w:lvl w:ilvl="0">
      <w:start w:val="1"/>
      <w:numFmt w:val="bullet"/>
      <w:lvlText w:val=""/>
      <w:lvlJc w:val="left"/>
      <w:pPr>
        <w:ind w:left="360" w:hanging="360"/>
      </w:pPr>
      <w:rPr>
        <w:rFonts w:ascii="Wingdings" w:hAnsi="Wingding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0CA189A"/>
    <w:multiLevelType w:val="multilevel"/>
    <w:tmpl w:val="268042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52D4584A"/>
    <w:multiLevelType w:val="multilevel"/>
    <w:tmpl w:val="BFA0D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34B3256"/>
    <w:multiLevelType w:val="multilevel"/>
    <w:tmpl w:val="86A007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3534D7B"/>
    <w:multiLevelType w:val="hybridMultilevel"/>
    <w:tmpl w:val="2DD8409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572D225F"/>
    <w:multiLevelType w:val="multilevel"/>
    <w:tmpl w:val="885A871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E507CB2"/>
    <w:multiLevelType w:val="hybridMultilevel"/>
    <w:tmpl w:val="205E08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5ED00E2C"/>
    <w:multiLevelType w:val="hybridMultilevel"/>
    <w:tmpl w:val="8D1E300E"/>
    <w:lvl w:ilvl="0" w:tplc="080A000F">
      <w:start w:val="2"/>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630041F8"/>
    <w:multiLevelType w:val="multilevel"/>
    <w:tmpl w:val="EDBC0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39A5670"/>
    <w:multiLevelType w:val="hybridMultilevel"/>
    <w:tmpl w:val="BD9696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640A22A9"/>
    <w:multiLevelType w:val="hybridMultilevel"/>
    <w:tmpl w:val="6B72583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64847728"/>
    <w:multiLevelType w:val="multilevel"/>
    <w:tmpl w:val="5C385790"/>
    <w:lvl w:ilvl="0">
      <w:start w:val="1"/>
      <w:numFmt w:val="decimal"/>
      <w:lvlText w:val="%1."/>
      <w:lvlJc w:val="left"/>
      <w:pPr>
        <w:ind w:left="360" w:hanging="360"/>
      </w:pPr>
      <w:rPr>
        <w:rFonts w:hint="default"/>
      </w:rPr>
    </w:lvl>
    <w:lvl w:ilvl="1">
      <w:start w:val="1"/>
      <w:numFmt w:val="decimal"/>
      <w:lvlText w:val="%2."/>
      <w:lvlJc w:val="left"/>
      <w:pPr>
        <w:ind w:left="720" w:hanging="720"/>
      </w:pPr>
      <w:rPr>
        <w:rFonts w:ascii="Arial" w:eastAsiaTheme="minorHAnsi" w:hAnsi="Arial" w:cstheme="minorBidi"/>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9F23589"/>
    <w:multiLevelType w:val="hybridMultilevel"/>
    <w:tmpl w:val="26C4B71A"/>
    <w:lvl w:ilvl="0" w:tplc="ED84A752">
      <w:start w:val="1"/>
      <w:numFmt w:val="decimal"/>
      <w:lvlText w:val="%1."/>
      <w:lvlJc w:val="left"/>
      <w:pPr>
        <w:ind w:left="1020" w:hanging="360"/>
      </w:pPr>
    </w:lvl>
    <w:lvl w:ilvl="1" w:tplc="9B185FC2">
      <w:start w:val="1"/>
      <w:numFmt w:val="decimal"/>
      <w:lvlText w:val="%2."/>
      <w:lvlJc w:val="left"/>
      <w:pPr>
        <w:ind w:left="1020" w:hanging="360"/>
      </w:pPr>
    </w:lvl>
    <w:lvl w:ilvl="2" w:tplc="0F74496A">
      <w:start w:val="1"/>
      <w:numFmt w:val="decimal"/>
      <w:lvlText w:val="%3."/>
      <w:lvlJc w:val="left"/>
      <w:pPr>
        <w:ind w:left="1020" w:hanging="360"/>
      </w:pPr>
    </w:lvl>
    <w:lvl w:ilvl="3" w:tplc="EB9EA354">
      <w:start w:val="1"/>
      <w:numFmt w:val="decimal"/>
      <w:lvlText w:val="%4."/>
      <w:lvlJc w:val="left"/>
      <w:pPr>
        <w:ind w:left="1020" w:hanging="360"/>
      </w:pPr>
    </w:lvl>
    <w:lvl w:ilvl="4" w:tplc="6CD22E5A">
      <w:start w:val="1"/>
      <w:numFmt w:val="decimal"/>
      <w:lvlText w:val="%5."/>
      <w:lvlJc w:val="left"/>
      <w:pPr>
        <w:ind w:left="1020" w:hanging="360"/>
      </w:pPr>
    </w:lvl>
    <w:lvl w:ilvl="5" w:tplc="82322684">
      <w:start w:val="1"/>
      <w:numFmt w:val="decimal"/>
      <w:lvlText w:val="%6."/>
      <w:lvlJc w:val="left"/>
      <w:pPr>
        <w:ind w:left="1020" w:hanging="360"/>
      </w:pPr>
    </w:lvl>
    <w:lvl w:ilvl="6" w:tplc="E9B6A022">
      <w:start w:val="1"/>
      <w:numFmt w:val="decimal"/>
      <w:lvlText w:val="%7."/>
      <w:lvlJc w:val="left"/>
      <w:pPr>
        <w:ind w:left="1020" w:hanging="360"/>
      </w:pPr>
    </w:lvl>
    <w:lvl w:ilvl="7" w:tplc="B1EE74A4">
      <w:start w:val="1"/>
      <w:numFmt w:val="decimal"/>
      <w:lvlText w:val="%8."/>
      <w:lvlJc w:val="left"/>
      <w:pPr>
        <w:ind w:left="1020" w:hanging="360"/>
      </w:pPr>
    </w:lvl>
    <w:lvl w:ilvl="8" w:tplc="417A54C2">
      <w:start w:val="1"/>
      <w:numFmt w:val="decimal"/>
      <w:lvlText w:val="%9."/>
      <w:lvlJc w:val="left"/>
      <w:pPr>
        <w:ind w:left="1020" w:hanging="360"/>
      </w:pPr>
    </w:lvl>
  </w:abstractNum>
  <w:abstractNum w:abstractNumId="47" w15:restartNumberingAfterBreak="0">
    <w:nsid w:val="6CA77FA5"/>
    <w:multiLevelType w:val="hybridMultilevel"/>
    <w:tmpl w:val="5A3C38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76100432"/>
    <w:multiLevelType w:val="hybridMultilevel"/>
    <w:tmpl w:val="31E68DAC"/>
    <w:lvl w:ilvl="0" w:tplc="240A0001">
      <w:start w:val="1"/>
      <w:numFmt w:val="bullet"/>
      <w:lvlText w:val=""/>
      <w:lvlJc w:val="left"/>
      <w:pPr>
        <w:ind w:left="795" w:hanging="360"/>
      </w:pPr>
      <w:rPr>
        <w:rFonts w:ascii="Symbol" w:hAnsi="Symbol" w:hint="default"/>
      </w:rPr>
    </w:lvl>
    <w:lvl w:ilvl="1" w:tplc="240A0003" w:tentative="1">
      <w:start w:val="1"/>
      <w:numFmt w:val="bullet"/>
      <w:lvlText w:val="o"/>
      <w:lvlJc w:val="left"/>
      <w:pPr>
        <w:ind w:left="1515" w:hanging="360"/>
      </w:pPr>
      <w:rPr>
        <w:rFonts w:ascii="Courier New" w:hAnsi="Courier New" w:cs="Courier New" w:hint="default"/>
      </w:rPr>
    </w:lvl>
    <w:lvl w:ilvl="2" w:tplc="240A0005" w:tentative="1">
      <w:start w:val="1"/>
      <w:numFmt w:val="bullet"/>
      <w:lvlText w:val=""/>
      <w:lvlJc w:val="left"/>
      <w:pPr>
        <w:ind w:left="2235" w:hanging="360"/>
      </w:pPr>
      <w:rPr>
        <w:rFonts w:ascii="Wingdings" w:hAnsi="Wingdings" w:hint="default"/>
      </w:rPr>
    </w:lvl>
    <w:lvl w:ilvl="3" w:tplc="240A0001" w:tentative="1">
      <w:start w:val="1"/>
      <w:numFmt w:val="bullet"/>
      <w:lvlText w:val=""/>
      <w:lvlJc w:val="left"/>
      <w:pPr>
        <w:ind w:left="2955" w:hanging="360"/>
      </w:pPr>
      <w:rPr>
        <w:rFonts w:ascii="Symbol" w:hAnsi="Symbol" w:hint="default"/>
      </w:rPr>
    </w:lvl>
    <w:lvl w:ilvl="4" w:tplc="240A0003" w:tentative="1">
      <w:start w:val="1"/>
      <w:numFmt w:val="bullet"/>
      <w:lvlText w:val="o"/>
      <w:lvlJc w:val="left"/>
      <w:pPr>
        <w:ind w:left="3675" w:hanging="360"/>
      </w:pPr>
      <w:rPr>
        <w:rFonts w:ascii="Courier New" w:hAnsi="Courier New" w:cs="Courier New" w:hint="default"/>
      </w:rPr>
    </w:lvl>
    <w:lvl w:ilvl="5" w:tplc="240A0005" w:tentative="1">
      <w:start w:val="1"/>
      <w:numFmt w:val="bullet"/>
      <w:lvlText w:val=""/>
      <w:lvlJc w:val="left"/>
      <w:pPr>
        <w:ind w:left="4395" w:hanging="360"/>
      </w:pPr>
      <w:rPr>
        <w:rFonts w:ascii="Wingdings" w:hAnsi="Wingdings" w:hint="default"/>
      </w:rPr>
    </w:lvl>
    <w:lvl w:ilvl="6" w:tplc="240A0001" w:tentative="1">
      <w:start w:val="1"/>
      <w:numFmt w:val="bullet"/>
      <w:lvlText w:val=""/>
      <w:lvlJc w:val="left"/>
      <w:pPr>
        <w:ind w:left="5115" w:hanging="360"/>
      </w:pPr>
      <w:rPr>
        <w:rFonts w:ascii="Symbol" w:hAnsi="Symbol" w:hint="default"/>
      </w:rPr>
    </w:lvl>
    <w:lvl w:ilvl="7" w:tplc="240A0003" w:tentative="1">
      <w:start w:val="1"/>
      <w:numFmt w:val="bullet"/>
      <w:lvlText w:val="o"/>
      <w:lvlJc w:val="left"/>
      <w:pPr>
        <w:ind w:left="5835" w:hanging="360"/>
      </w:pPr>
      <w:rPr>
        <w:rFonts w:ascii="Courier New" w:hAnsi="Courier New" w:cs="Courier New" w:hint="default"/>
      </w:rPr>
    </w:lvl>
    <w:lvl w:ilvl="8" w:tplc="240A0005" w:tentative="1">
      <w:start w:val="1"/>
      <w:numFmt w:val="bullet"/>
      <w:lvlText w:val=""/>
      <w:lvlJc w:val="left"/>
      <w:pPr>
        <w:ind w:left="6555" w:hanging="360"/>
      </w:pPr>
      <w:rPr>
        <w:rFonts w:ascii="Wingdings" w:hAnsi="Wingdings" w:hint="default"/>
      </w:rPr>
    </w:lvl>
  </w:abstractNum>
  <w:abstractNum w:abstractNumId="49" w15:restartNumberingAfterBreak="0">
    <w:nsid w:val="76B42AD3"/>
    <w:multiLevelType w:val="hybridMultilevel"/>
    <w:tmpl w:val="1B061E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77A1211B"/>
    <w:multiLevelType w:val="multilevel"/>
    <w:tmpl w:val="922C1C90"/>
    <w:lvl w:ilvl="0">
      <w:start w:val="1"/>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79DF2554"/>
    <w:multiLevelType w:val="hybridMultilevel"/>
    <w:tmpl w:val="FE8273BE"/>
    <w:lvl w:ilvl="0" w:tplc="240A0017">
      <w:start w:val="1"/>
      <w:numFmt w:val="lowerLetter"/>
      <w:lvlText w:val="%1)"/>
      <w:lvlJc w:val="left"/>
      <w:pPr>
        <w:ind w:left="1080" w:hanging="72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2" w15:restartNumberingAfterBreak="0">
    <w:nsid w:val="7AB42F3A"/>
    <w:multiLevelType w:val="hybridMultilevel"/>
    <w:tmpl w:val="245C379E"/>
    <w:lvl w:ilvl="0" w:tplc="1D1C0300">
      <w:start w:val="1"/>
      <w:numFmt w:val="decimal"/>
      <w:lvlText w:val="%1."/>
      <w:lvlJc w:val="left"/>
      <w:pPr>
        <w:ind w:left="720" w:hanging="360"/>
      </w:pPr>
    </w:lvl>
    <w:lvl w:ilvl="1" w:tplc="6700D0CE">
      <w:start w:val="1"/>
      <w:numFmt w:val="decimal"/>
      <w:lvlText w:val="%2."/>
      <w:lvlJc w:val="left"/>
      <w:pPr>
        <w:ind w:left="720" w:hanging="360"/>
      </w:pPr>
    </w:lvl>
    <w:lvl w:ilvl="2" w:tplc="E74E604E">
      <w:start w:val="1"/>
      <w:numFmt w:val="decimal"/>
      <w:lvlText w:val="%3."/>
      <w:lvlJc w:val="left"/>
      <w:pPr>
        <w:ind w:left="720" w:hanging="360"/>
      </w:pPr>
    </w:lvl>
    <w:lvl w:ilvl="3" w:tplc="1D3CD0C2">
      <w:start w:val="1"/>
      <w:numFmt w:val="decimal"/>
      <w:lvlText w:val="%4."/>
      <w:lvlJc w:val="left"/>
      <w:pPr>
        <w:ind w:left="720" w:hanging="360"/>
      </w:pPr>
    </w:lvl>
    <w:lvl w:ilvl="4" w:tplc="40C4F50E">
      <w:start w:val="1"/>
      <w:numFmt w:val="decimal"/>
      <w:lvlText w:val="%5."/>
      <w:lvlJc w:val="left"/>
      <w:pPr>
        <w:ind w:left="720" w:hanging="360"/>
      </w:pPr>
    </w:lvl>
    <w:lvl w:ilvl="5" w:tplc="D85A9C50">
      <w:start w:val="1"/>
      <w:numFmt w:val="decimal"/>
      <w:lvlText w:val="%6."/>
      <w:lvlJc w:val="left"/>
      <w:pPr>
        <w:ind w:left="720" w:hanging="360"/>
      </w:pPr>
    </w:lvl>
    <w:lvl w:ilvl="6" w:tplc="3A3C874C">
      <w:start w:val="1"/>
      <w:numFmt w:val="decimal"/>
      <w:lvlText w:val="%7."/>
      <w:lvlJc w:val="left"/>
      <w:pPr>
        <w:ind w:left="720" w:hanging="360"/>
      </w:pPr>
    </w:lvl>
    <w:lvl w:ilvl="7" w:tplc="DB804F8C">
      <w:start w:val="1"/>
      <w:numFmt w:val="decimal"/>
      <w:lvlText w:val="%8."/>
      <w:lvlJc w:val="left"/>
      <w:pPr>
        <w:ind w:left="720" w:hanging="360"/>
      </w:pPr>
    </w:lvl>
    <w:lvl w:ilvl="8" w:tplc="01D48462">
      <w:start w:val="1"/>
      <w:numFmt w:val="decimal"/>
      <w:lvlText w:val="%9."/>
      <w:lvlJc w:val="left"/>
      <w:pPr>
        <w:ind w:left="720" w:hanging="360"/>
      </w:pPr>
    </w:lvl>
  </w:abstractNum>
  <w:abstractNum w:abstractNumId="53" w15:restartNumberingAfterBreak="0">
    <w:nsid w:val="7D8B1CB5"/>
    <w:multiLevelType w:val="multilevel"/>
    <w:tmpl w:val="1722DE8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E5D18BE"/>
    <w:multiLevelType w:val="multilevel"/>
    <w:tmpl w:val="AA8642B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0"/>
  </w:num>
  <w:num w:numId="2">
    <w:abstractNumId w:val="8"/>
  </w:num>
  <w:num w:numId="3">
    <w:abstractNumId w:val="33"/>
  </w:num>
  <w:num w:numId="4">
    <w:abstractNumId w:val="34"/>
  </w:num>
  <w:num w:numId="5">
    <w:abstractNumId w:val="13"/>
  </w:num>
  <w:num w:numId="6">
    <w:abstractNumId w:val="38"/>
  </w:num>
  <w:num w:numId="7">
    <w:abstractNumId w:val="5"/>
  </w:num>
  <w:num w:numId="8">
    <w:abstractNumId w:val="1"/>
  </w:num>
  <w:num w:numId="9">
    <w:abstractNumId w:val="42"/>
  </w:num>
  <w:num w:numId="10">
    <w:abstractNumId w:val="18"/>
  </w:num>
  <w:num w:numId="11">
    <w:abstractNumId w:val="26"/>
  </w:num>
  <w:num w:numId="12">
    <w:abstractNumId w:val="15"/>
  </w:num>
  <w:num w:numId="13">
    <w:abstractNumId w:val="4"/>
  </w:num>
  <w:num w:numId="14">
    <w:abstractNumId w:val="14"/>
  </w:num>
  <w:num w:numId="15">
    <w:abstractNumId w:val="39"/>
  </w:num>
  <w:num w:numId="16">
    <w:abstractNumId w:val="53"/>
  </w:num>
  <w:num w:numId="17">
    <w:abstractNumId w:val="3"/>
  </w:num>
  <w:num w:numId="18">
    <w:abstractNumId w:val="16"/>
  </w:num>
  <w:num w:numId="19">
    <w:abstractNumId w:val="9"/>
  </w:num>
  <w:num w:numId="20">
    <w:abstractNumId w:val="35"/>
  </w:num>
  <w:num w:numId="21">
    <w:abstractNumId w:val="21"/>
  </w:num>
  <w:num w:numId="22">
    <w:abstractNumId w:val="27"/>
  </w:num>
  <w:num w:numId="23">
    <w:abstractNumId w:val="31"/>
  </w:num>
  <w:num w:numId="24">
    <w:abstractNumId w:val="22"/>
  </w:num>
  <w:num w:numId="25">
    <w:abstractNumId w:val="11"/>
  </w:num>
  <w:num w:numId="26">
    <w:abstractNumId w:val="36"/>
  </w:num>
  <w:num w:numId="27">
    <w:abstractNumId w:val="54"/>
  </w:num>
  <w:num w:numId="28">
    <w:abstractNumId w:val="32"/>
  </w:num>
  <w:num w:numId="29">
    <w:abstractNumId w:val="37"/>
  </w:num>
  <w:num w:numId="30">
    <w:abstractNumId w:val="12"/>
  </w:num>
  <w:num w:numId="31">
    <w:abstractNumId w:val="0"/>
  </w:num>
  <w:num w:numId="32">
    <w:abstractNumId w:val="10"/>
  </w:num>
  <w:num w:numId="33">
    <w:abstractNumId w:val="24"/>
  </w:num>
  <w:num w:numId="34">
    <w:abstractNumId w:val="20"/>
  </w:num>
  <w:num w:numId="35">
    <w:abstractNumId w:val="47"/>
  </w:num>
  <w:num w:numId="36">
    <w:abstractNumId w:val="2"/>
  </w:num>
  <w:num w:numId="37">
    <w:abstractNumId w:val="51"/>
  </w:num>
  <w:num w:numId="38">
    <w:abstractNumId w:val="28"/>
  </w:num>
  <w:num w:numId="39">
    <w:abstractNumId w:val="49"/>
  </w:num>
  <w:num w:numId="40">
    <w:abstractNumId w:val="43"/>
  </w:num>
  <w:num w:numId="41">
    <w:abstractNumId w:val="40"/>
  </w:num>
  <w:num w:numId="42">
    <w:abstractNumId w:val="41"/>
  </w:num>
  <w:num w:numId="43">
    <w:abstractNumId w:val="6"/>
  </w:num>
  <w:num w:numId="44">
    <w:abstractNumId w:val="48"/>
  </w:num>
  <w:num w:numId="45">
    <w:abstractNumId w:val="17"/>
  </w:num>
  <w:num w:numId="46">
    <w:abstractNumId w:val="23"/>
  </w:num>
  <w:num w:numId="47">
    <w:abstractNumId w:val="45"/>
  </w:num>
  <w:num w:numId="48">
    <w:abstractNumId w:val="50"/>
  </w:num>
  <w:num w:numId="49">
    <w:abstractNumId w:val="44"/>
  </w:num>
  <w:num w:numId="50">
    <w:abstractNumId w:val="46"/>
  </w:num>
  <w:num w:numId="51">
    <w:abstractNumId w:val="52"/>
  </w:num>
  <w:num w:numId="52">
    <w:abstractNumId w:val="7"/>
  </w:num>
  <w:num w:numId="53">
    <w:abstractNumId w:val="19"/>
  </w:num>
  <w:num w:numId="54">
    <w:abstractNumId w:val="25"/>
  </w:num>
  <w:num w:numId="55">
    <w:abstractNumId w:val="2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59E"/>
    <w:rsid w:val="00013AC4"/>
    <w:rsid w:val="0003659E"/>
    <w:rsid w:val="000365FE"/>
    <w:rsid w:val="000643B8"/>
    <w:rsid w:val="000664FC"/>
    <w:rsid w:val="00070E5E"/>
    <w:rsid w:val="00085A9C"/>
    <w:rsid w:val="00092A0D"/>
    <w:rsid w:val="000A4C6B"/>
    <w:rsid w:val="000A53A7"/>
    <w:rsid w:val="000B6DCE"/>
    <w:rsid w:val="000D4559"/>
    <w:rsid w:val="000E3558"/>
    <w:rsid w:val="000F021A"/>
    <w:rsid w:val="00111AFB"/>
    <w:rsid w:val="00121C66"/>
    <w:rsid w:val="00132ECE"/>
    <w:rsid w:val="00144588"/>
    <w:rsid w:val="0014506C"/>
    <w:rsid w:val="001452B6"/>
    <w:rsid w:val="00192D89"/>
    <w:rsid w:val="00196BB5"/>
    <w:rsid w:val="001A3D47"/>
    <w:rsid w:val="001B43F6"/>
    <w:rsid w:val="001B6D98"/>
    <w:rsid w:val="001B72E5"/>
    <w:rsid w:val="001D7F0A"/>
    <w:rsid w:val="001E3A24"/>
    <w:rsid w:val="001F39A8"/>
    <w:rsid w:val="0021189B"/>
    <w:rsid w:val="002250C9"/>
    <w:rsid w:val="002264C7"/>
    <w:rsid w:val="002266CD"/>
    <w:rsid w:val="00226F4A"/>
    <w:rsid w:val="00236A9A"/>
    <w:rsid w:val="00274895"/>
    <w:rsid w:val="00297D88"/>
    <w:rsid w:val="002A4DCB"/>
    <w:rsid w:val="002D77DA"/>
    <w:rsid w:val="002E6E61"/>
    <w:rsid w:val="002F39C7"/>
    <w:rsid w:val="0030050E"/>
    <w:rsid w:val="00305344"/>
    <w:rsid w:val="00326ED6"/>
    <w:rsid w:val="00331ABB"/>
    <w:rsid w:val="00331C0E"/>
    <w:rsid w:val="003326C3"/>
    <w:rsid w:val="00350B20"/>
    <w:rsid w:val="00356F83"/>
    <w:rsid w:val="00363D53"/>
    <w:rsid w:val="003658DA"/>
    <w:rsid w:val="00394F0B"/>
    <w:rsid w:val="003B2687"/>
    <w:rsid w:val="003B6847"/>
    <w:rsid w:val="003C7B90"/>
    <w:rsid w:val="003F6FC6"/>
    <w:rsid w:val="00431380"/>
    <w:rsid w:val="0043138D"/>
    <w:rsid w:val="0043442D"/>
    <w:rsid w:val="00450030"/>
    <w:rsid w:val="0045046E"/>
    <w:rsid w:val="00452B17"/>
    <w:rsid w:val="00470062"/>
    <w:rsid w:val="00487165"/>
    <w:rsid w:val="004A78FD"/>
    <w:rsid w:val="004B2F36"/>
    <w:rsid w:val="004D2C55"/>
    <w:rsid w:val="004D62E8"/>
    <w:rsid w:val="004E1DBD"/>
    <w:rsid w:val="004F2546"/>
    <w:rsid w:val="004F7CFA"/>
    <w:rsid w:val="00507B59"/>
    <w:rsid w:val="00521406"/>
    <w:rsid w:val="005306CE"/>
    <w:rsid w:val="00553821"/>
    <w:rsid w:val="005719A6"/>
    <w:rsid w:val="0058189B"/>
    <w:rsid w:val="005865CD"/>
    <w:rsid w:val="005A65A0"/>
    <w:rsid w:val="005C6B16"/>
    <w:rsid w:val="005D03D6"/>
    <w:rsid w:val="005E11C3"/>
    <w:rsid w:val="005F00A7"/>
    <w:rsid w:val="005F1C07"/>
    <w:rsid w:val="005F3255"/>
    <w:rsid w:val="005F5B97"/>
    <w:rsid w:val="006070AD"/>
    <w:rsid w:val="00612996"/>
    <w:rsid w:val="00615B35"/>
    <w:rsid w:val="00640F5E"/>
    <w:rsid w:val="00643C3A"/>
    <w:rsid w:val="006550AC"/>
    <w:rsid w:val="00667A75"/>
    <w:rsid w:val="006760D0"/>
    <w:rsid w:val="006B7244"/>
    <w:rsid w:val="006B7721"/>
    <w:rsid w:val="006D0AFC"/>
    <w:rsid w:val="006E5978"/>
    <w:rsid w:val="006E7569"/>
    <w:rsid w:val="006F084B"/>
    <w:rsid w:val="00706FA7"/>
    <w:rsid w:val="00710828"/>
    <w:rsid w:val="007215A8"/>
    <w:rsid w:val="00740FF2"/>
    <w:rsid w:val="00757778"/>
    <w:rsid w:val="007616EA"/>
    <w:rsid w:val="00761FBE"/>
    <w:rsid w:val="00762050"/>
    <w:rsid w:val="00790270"/>
    <w:rsid w:val="00791F0A"/>
    <w:rsid w:val="007A6153"/>
    <w:rsid w:val="007B5EFC"/>
    <w:rsid w:val="007B7A76"/>
    <w:rsid w:val="007C14B9"/>
    <w:rsid w:val="007C775B"/>
    <w:rsid w:val="007E4D4C"/>
    <w:rsid w:val="007F66E5"/>
    <w:rsid w:val="0082648F"/>
    <w:rsid w:val="00827A41"/>
    <w:rsid w:val="00833350"/>
    <w:rsid w:val="008444B4"/>
    <w:rsid w:val="008556E8"/>
    <w:rsid w:val="008704CA"/>
    <w:rsid w:val="00872E10"/>
    <w:rsid w:val="0087492B"/>
    <w:rsid w:val="008A379B"/>
    <w:rsid w:val="008A5362"/>
    <w:rsid w:val="008A6F91"/>
    <w:rsid w:val="008B2DF3"/>
    <w:rsid w:val="008B34EF"/>
    <w:rsid w:val="008B463D"/>
    <w:rsid w:val="008B6BEA"/>
    <w:rsid w:val="008D2339"/>
    <w:rsid w:val="008D692B"/>
    <w:rsid w:val="008F3AB1"/>
    <w:rsid w:val="00906200"/>
    <w:rsid w:val="00917788"/>
    <w:rsid w:val="00931B5A"/>
    <w:rsid w:val="00940B7F"/>
    <w:rsid w:val="00946A8B"/>
    <w:rsid w:val="0096549D"/>
    <w:rsid w:val="009830DB"/>
    <w:rsid w:val="0098384D"/>
    <w:rsid w:val="00996DBE"/>
    <w:rsid w:val="00997529"/>
    <w:rsid w:val="009C594A"/>
    <w:rsid w:val="009C74C3"/>
    <w:rsid w:val="009D4E93"/>
    <w:rsid w:val="009E07BE"/>
    <w:rsid w:val="009E7171"/>
    <w:rsid w:val="00A03F8E"/>
    <w:rsid w:val="00A107B0"/>
    <w:rsid w:val="00A16241"/>
    <w:rsid w:val="00A21B6B"/>
    <w:rsid w:val="00A23F67"/>
    <w:rsid w:val="00A378E4"/>
    <w:rsid w:val="00A47171"/>
    <w:rsid w:val="00A5652F"/>
    <w:rsid w:val="00AB29EB"/>
    <w:rsid w:val="00AE3EE7"/>
    <w:rsid w:val="00AE582B"/>
    <w:rsid w:val="00AF36AB"/>
    <w:rsid w:val="00AF3898"/>
    <w:rsid w:val="00B173C6"/>
    <w:rsid w:val="00B33EAF"/>
    <w:rsid w:val="00B41D65"/>
    <w:rsid w:val="00B50E07"/>
    <w:rsid w:val="00B52233"/>
    <w:rsid w:val="00B67BE1"/>
    <w:rsid w:val="00B819E1"/>
    <w:rsid w:val="00B95330"/>
    <w:rsid w:val="00B973A0"/>
    <w:rsid w:val="00BA06DF"/>
    <w:rsid w:val="00BA30F6"/>
    <w:rsid w:val="00BA75CE"/>
    <w:rsid w:val="00BB6ADF"/>
    <w:rsid w:val="00BD2076"/>
    <w:rsid w:val="00BE485A"/>
    <w:rsid w:val="00C0722F"/>
    <w:rsid w:val="00C1139B"/>
    <w:rsid w:val="00C13D79"/>
    <w:rsid w:val="00C150C0"/>
    <w:rsid w:val="00C20727"/>
    <w:rsid w:val="00C319C2"/>
    <w:rsid w:val="00C54B1B"/>
    <w:rsid w:val="00C55E81"/>
    <w:rsid w:val="00C56F5E"/>
    <w:rsid w:val="00C61885"/>
    <w:rsid w:val="00C8686D"/>
    <w:rsid w:val="00C92C7E"/>
    <w:rsid w:val="00C950BD"/>
    <w:rsid w:val="00CA029C"/>
    <w:rsid w:val="00CB6CCC"/>
    <w:rsid w:val="00CC542E"/>
    <w:rsid w:val="00CD51B7"/>
    <w:rsid w:val="00CD7AEB"/>
    <w:rsid w:val="00CE03AB"/>
    <w:rsid w:val="00CE2404"/>
    <w:rsid w:val="00D11514"/>
    <w:rsid w:val="00D16FF4"/>
    <w:rsid w:val="00D4258E"/>
    <w:rsid w:val="00D84019"/>
    <w:rsid w:val="00D90E45"/>
    <w:rsid w:val="00DA6108"/>
    <w:rsid w:val="00DD069E"/>
    <w:rsid w:val="00DF2B0C"/>
    <w:rsid w:val="00E24C10"/>
    <w:rsid w:val="00E31BF9"/>
    <w:rsid w:val="00E33ED3"/>
    <w:rsid w:val="00E63AB3"/>
    <w:rsid w:val="00E70650"/>
    <w:rsid w:val="00EA3D3E"/>
    <w:rsid w:val="00EA7FE2"/>
    <w:rsid w:val="00ED2982"/>
    <w:rsid w:val="00EE5442"/>
    <w:rsid w:val="00F0221A"/>
    <w:rsid w:val="00F125D5"/>
    <w:rsid w:val="00F15C98"/>
    <w:rsid w:val="00F3215F"/>
    <w:rsid w:val="00F3396A"/>
    <w:rsid w:val="00F34E1E"/>
    <w:rsid w:val="00F42211"/>
    <w:rsid w:val="00F55069"/>
    <w:rsid w:val="00F7388F"/>
    <w:rsid w:val="00F801C6"/>
    <w:rsid w:val="00F81141"/>
    <w:rsid w:val="00F81469"/>
    <w:rsid w:val="00F82533"/>
    <w:rsid w:val="00F95BFD"/>
    <w:rsid w:val="00F97615"/>
    <w:rsid w:val="00F97D01"/>
    <w:rsid w:val="00FB0127"/>
    <w:rsid w:val="00FB3E28"/>
    <w:rsid w:val="00FB62C8"/>
    <w:rsid w:val="00FE0A21"/>
    <w:rsid w:val="00FF149D"/>
    <w:rsid w:val="00FF3C7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A5C514"/>
  <w15:chartTrackingRefBased/>
  <w15:docId w15:val="{1343E0A1-5199-44DB-B214-247D2D277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7A41"/>
    <w:pPr>
      <w:spacing w:after="200" w:line="240" w:lineRule="auto"/>
      <w:jc w:val="both"/>
    </w:pPr>
    <w:rPr>
      <w:rFonts w:ascii="Arial" w:hAnsi="Arial"/>
    </w:rPr>
  </w:style>
  <w:style w:type="paragraph" w:styleId="Ttulo1">
    <w:name w:val="heading 1"/>
    <w:basedOn w:val="Normal"/>
    <w:link w:val="Ttulo1Car"/>
    <w:uiPriority w:val="9"/>
    <w:qFormat/>
    <w:rsid w:val="009830DB"/>
    <w:pPr>
      <w:widowControl w:val="0"/>
      <w:autoSpaceDE w:val="0"/>
      <w:autoSpaceDN w:val="0"/>
      <w:spacing w:after="0"/>
      <w:ind w:left="221"/>
      <w:outlineLvl w:val="0"/>
    </w:pPr>
    <w:rPr>
      <w:rFonts w:eastAsia="Arial" w:cs="Arial"/>
      <w:b/>
      <w:bCs/>
      <w:sz w:val="24"/>
      <w:szCs w:val="24"/>
      <w:lang w:val="en-US"/>
    </w:rPr>
  </w:style>
  <w:style w:type="paragraph" w:styleId="Ttulo2">
    <w:name w:val="heading 2"/>
    <w:basedOn w:val="Normal"/>
    <w:link w:val="Ttulo2Car"/>
    <w:uiPriority w:val="9"/>
    <w:qFormat/>
    <w:rsid w:val="009830DB"/>
    <w:pPr>
      <w:widowControl w:val="0"/>
      <w:autoSpaceDE w:val="0"/>
      <w:autoSpaceDN w:val="0"/>
      <w:spacing w:after="0"/>
      <w:ind w:left="1260" w:hanging="360"/>
      <w:outlineLvl w:val="1"/>
    </w:pPr>
    <w:rPr>
      <w:rFonts w:eastAsia="Arial" w:cs="Arial"/>
      <w:b/>
      <w:bCs/>
      <w:lang w:val="en-US"/>
    </w:rPr>
  </w:style>
  <w:style w:type="paragraph" w:styleId="Ttulo3">
    <w:name w:val="heading 3"/>
    <w:basedOn w:val="Normal"/>
    <w:next w:val="Normal"/>
    <w:link w:val="Ttulo3Car"/>
    <w:uiPriority w:val="9"/>
    <w:unhideWhenUsed/>
    <w:qFormat/>
    <w:rsid w:val="009830DB"/>
    <w:pPr>
      <w:keepNext/>
      <w:widowControl w:val="0"/>
      <w:autoSpaceDE w:val="0"/>
      <w:autoSpaceDN w:val="0"/>
      <w:spacing w:before="240" w:after="60"/>
      <w:outlineLvl w:val="2"/>
    </w:pPr>
    <w:rPr>
      <w:rFonts w:ascii="Calibri Light" w:eastAsia="Times New Roman" w:hAnsi="Calibri Light" w:cs="Times New Roman"/>
      <w:b/>
      <w:bCs/>
      <w:sz w:val="26"/>
      <w:szCs w:val="26"/>
      <w:lang w:val="en-US"/>
    </w:rPr>
  </w:style>
  <w:style w:type="paragraph" w:styleId="Ttulo4">
    <w:name w:val="heading 4"/>
    <w:basedOn w:val="Normal"/>
    <w:next w:val="Normal"/>
    <w:link w:val="Ttulo4Car"/>
    <w:uiPriority w:val="9"/>
    <w:unhideWhenUsed/>
    <w:qFormat/>
    <w:rsid w:val="009830DB"/>
    <w:pPr>
      <w:keepNext/>
      <w:widowControl w:val="0"/>
      <w:autoSpaceDE w:val="0"/>
      <w:autoSpaceDN w:val="0"/>
      <w:spacing w:before="240" w:after="60"/>
      <w:outlineLvl w:val="3"/>
    </w:pPr>
    <w:rPr>
      <w:rFonts w:ascii="Calibri" w:eastAsia="Times New Roman" w:hAnsi="Calibri" w:cs="Times New Roman"/>
      <w:b/>
      <w:bCs/>
      <w:sz w:val="28"/>
      <w:szCs w:val="28"/>
      <w:lang w:val="en-US"/>
    </w:rPr>
  </w:style>
  <w:style w:type="paragraph" w:styleId="Ttulo6">
    <w:name w:val="heading 6"/>
    <w:basedOn w:val="Normal"/>
    <w:next w:val="Normal"/>
    <w:link w:val="Ttulo6Car"/>
    <w:uiPriority w:val="9"/>
    <w:semiHidden/>
    <w:unhideWhenUsed/>
    <w:qFormat/>
    <w:rsid w:val="009830DB"/>
    <w:pPr>
      <w:widowControl w:val="0"/>
      <w:autoSpaceDE w:val="0"/>
      <w:autoSpaceDN w:val="0"/>
      <w:spacing w:before="240" w:after="60"/>
      <w:outlineLvl w:val="5"/>
    </w:pPr>
    <w:rPr>
      <w:rFonts w:ascii="Calibri" w:eastAsia="Times New Roman" w:hAnsi="Calibri" w:cs="Times New Roman"/>
      <w:b/>
      <w:bCs/>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rsid w:val="0003659E"/>
    <w:pPr>
      <w:tabs>
        <w:tab w:val="center" w:pos="4419"/>
        <w:tab w:val="right" w:pos="8838"/>
      </w:tabs>
      <w:spacing w:after="0"/>
    </w:pPr>
  </w:style>
  <w:style w:type="character" w:customStyle="1" w:styleId="PiedepginaCar">
    <w:name w:val="Pie de página Car"/>
    <w:basedOn w:val="Fuentedeprrafopredeter"/>
    <w:link w:val="Piedepgina"/>
    <w:uiPriority w:val="99"/>
    <w:rsid w:val="0003659E"/>
  </w:style>
  <w:style w:type="paragraph" w:styleId="Encabezado">
    <w:name w:val="header"/>
    <w:basedOn w:val="Normal"/>
    <w:link w:val="EncabezadoCar"/>
    <w:uiPriority w:val="99"/>
    <w:unhideWhenUsed/>
    <w:rsid w:val="0003659E"/>
    <w:pPr>
      <w:tabs>
        <w:tab w:val="center" w:pos="4419"/>
        <w:tab w:val="right" w:pos="8838"/>
      </w:tabs>
      <w:spacing w:after="0"/>
    </w:pPr>
  </w:style>
  <w:style w:type="character" w:customStyle="1" w:styleId="EncabezadoCar">
    <w:name w:val="Encabezado Car"/>
    <w:basedOn w:val="Fuentedeprrafopredeter"/>
    <w:link w:val="Encabezado"/>
    <w:uiPriority w:val="99"/>
    <w:rsid w:val="0003659E"/>
  </w:style>
  <w:style w:type="paragraph" w:styleId="Sinespaciado">
    <w:name w:val="No Spacing"/>
    <w:link w:val="SinespaciadoCar"/>
    <w:uiPriority w:val="1"/>
    <w:qFormat/>
    <w:rsid w:val="00F42211"/>
    <w:pPr>
      <w:spacing w:after="0" w:line="240" w:lineRule="auto"/>
    </w:pPr>
    <w:rPr>
      <w:rFonts w:ascii="Tahoma" w:eastAsia="Times New Roman" w:hAnsi="Tahoma" w:cs="Times New Roman"/>
      <w:sz w:val="20"/>
      <w:szCs w:val="20"/>
      <w:lang w:eastAsia="es-ES"/>
    </w:rPr>
  </w:style>
  <w:style w:type="character" w:customStyle="1" w:styleId="SinespaciadoCar">
    <w:name w:val="Sin espaciado Car"/>
    <w:link w:val="Sinespaciado"/>
    <w:uiPriority w:val="1"/>
    <w:rsid w:val="00F42211"/>
    <w:rPr>
      <w:rFonts w:ascii="Tahoma" w:eastAsia="Times New Roman" w:hAnsi="Tahoma" w:cs="Times New Roman"/>
      <w:sz w:val="20"/>
      <w:szCs w:val="20"/>
      <w:lang w:eastAsia="es-ES"/>
    </w:rPr>
  </w:style>
  <w:style w:type="character" w:styleId="Hipervnculo">
    <w:name w:val="Hyperlink"/>
    <w:basedOn w:val="Fuentedeprrafopredeter"/>
    <w:uiPriority w:val="99"/>
    <w:unhideWhenUsed/>
    <w:rsid w:val="00931B5A"/>
    <w:rPr>
      <w:color w:val="0563C1" w:themeColor="hyperlink"/>
      <w:u w:val="single"/>
    </w:rPr>
  </w:style>
  <w:style w:type="character" w:customStyle="1" w:styleId="Ttulo1Car">
    <w:name w:val="Título 1 Car"/>
    <w:basedOn w:val="Fuentedeprrafopredeter"/>
    <w:link w:val="Ttulo1"/>
    <w:uiPriority w:val="9"/>
    <w:rsid w:val="009830DB"/>
    <w:rPr>
      <w:rFonts w:ascii="Arial" w:eastAsia="Arial" w:hAnsi="Arial" w:cs="Arial"/>
      <w:b/>
      <w:bCs/>
      <w:sz w:val="24"/>
      <w:szCs w:val="24"/>
      <w:lang w:val="en-US"/>
    </w:rPr>
  </w:style>
  <w:style w:type="character" w:customStyle="1" w:styleId="Ttulo2Car">
    <w:name w:val="Título 2 Car"/>
    <w:basedOn w:val="Fuentedeprrafopredeter"/>
    <w:link w:val="Ttulo2"/>
    <w:uiPriority w:val="9"/>
    <w:rsid w:val="009830DB"/>
    <w:rPr>
      <w:rFonts w:ascii="Arial" w:eastAsia="Arial" w:hAnsi="Arial" w:cs="Arial"/>
      <w:b/>
      <w:bCs/>
      <w:lang w:val="en-US"/>
    </w:rPr>
  </w:style>
  <w:style w:type="character" w:customStyle="1" w:styleId="Ttulo3Car">
    <w:name w:val="Título 3 Car"/>
    <w:basedOn w:val="Fuentedeprrafopredeter"/>
    <w:link w:val="Ttulo3"/>
    <w:uiPriority w:val="9"/>
    <w:rsid w:val="009830DB"/>
    <w:rPr>
      <w:rFonts w:ascii="Calibri Light" w:eastAsia="Times New Roman" w:hAnsi="Calibri Light" w:cs="Times New Roman"/>
      <w:b/>
      <w:bCs/>
      <w:sz w:val="26"/>
      <w:szCs w:val="26"/>
      <w:lang w:val="en-US"/>
    </w:rPr>
  </w:style>
  <w:style w:type="character" w:customStyle="1" w:styleId="Ttulo4Car">
    <w:name w:val="Título 4 Car"/>
    <w:basedOn w:val="Fuentedeprrafopredeter"/>
    <w:link w:val="Ttulo4"/>
    <w:uiPriority w:val="9"/>
    <w:rsid w:val="009830DB"/>
    <w:rPr>
      <w:rFonts w:ascii="Calibri" w:eastAsia="Times New Roman" w:hAnsi="Calibri" w:cs="Times New Roman"/>
      <w:b/>
      <w:bCs/>
      <w:sz w:val="28"/>
      <w:szCs w:val="28"/>
      <w:lang w:val="en-US"/>
    </w:rPr>
  </w:style>
  <w:style w:type="character" w:customStyle="1" w:styleId="Ttulo6Car">
    <w:name w:val="Título 6 Car"/>
    <w:basedOn w:val="Fuentedeprrafopredeter"/>
    <w:link w:val="Ttulo6"/>
    <w:uiPriority w:val="9"/>
    <w:semiHidden/>
    <w:rsid w:val="009830DB"/>
    <w:rPr>
      <w:rFonts w:ascii="Calibri" w:eastAsia="Times New Roman" w:hAnsi="Calibri" w:cs="Times New Roman"/>
      <w:b/>
      <w:bCs/>
      <w:lang w:val="en-US"/>
    </w:rPr>
  </w:style>
  <w:style w:type="table" w:customStyle="1" w:styleId="TableNormal">
    <w:name w:val="Table Normal"/>
    <w:uiPriority w:val="2"/>
    <w:semiHidden/>
    <w:unhideWhenUsed/>
    <w:qFormat/>
    <w:rsid w:val="009830DB"/>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TDC1">
    <w:name w:val="toc 1"/>
    <w:basedOn w:val="Normal"/>
    <w:uiPriority w:val="39"/>
    <w:qFormat/>
    <w:rsid w:val="009830DB"/>
    <w:pPr>
      <w:widowControl w:val="0"/>
      <w:autoSpaceDE w:val="0"/>
      <w:autoSpaceDN w:val="0"/>
      <w:spacing w:before="240" w:after="120"/>
    </w:pPr>
    <w:rPr>
      <w:rFonts w:ascii="Calibri" w:eastAsia="Arial" w:hAnsi="Calibri" w:cs="Calibri"/>
      <w:b/>
      <w:bCs/>
      <w:sz w:val="20"/>
      <w:szCs w:val="20"/>
      <w:lang w:val="en-US"/>
    </w:rPr>
  </w:style>
  <w:style w:type="paragraph" w:styleId="TDC2">
    <w:name w:val="toc 2"/>
    <w:basedOn w:val="Normal"/>
    <w:uiPriority w:val="39"/>
    <w:qFormat/>
    <w:rsid w:val="009830DB"/>
    <w:pPr>
      <w:widowControl w:val="0"/>
      <w:autoSpaceDE w:val="0"/>
      <w:autoSpaceDN w:val="0"/>
      <w:spacing w:before="120" w:after="0"/>
      <w:ind w:left="220"/>
    </w:pPr>
    <w:rPr>
      <w:rFonts w:ascii="Calibri" w:eastAsia="Arial" w:hAnsi="Calibri" w:cs="Calibri"/>
      <w:i/>
      <w:iCs/>
      <w:sz w:val="20"/>
      <w:szCs w:val="20"/>
      <w:lang w:val="en-US"/>
    </w:rPr>
  </w:style>
  <w:style w:type="paragraph" w:styleId="TDC3">
    <w:name w:val="toc 3"/>
    <w:basedOn w:val="Normal"/>
    <w:uiPriority w:val="39"/>
    <w:qFormat/>
    <w:rsid w:val="009830DB"/>
    <w:pPr>
      <w:widowControl w:val="0"/>
      <w:autoSpaceDE w:val="0"/>
      <w:autoSpaceDN w:val="0"/>
      <w:spacing w:after="0"/>
      <w:ind w:left="440"/>
    </w:pPr>
    <w:rPr>
      <w:rFonts w:ascii="Calibri" w:eastAsia="Arial" w:hAnsi="Calibri" w:cs="Calibri"/>
      <w:sz w:val="20"/>
      <w:szCs w:val="20"/>
      <w:lang w:val="en-US"/>
    </w:rPr>
  </w:style>
  <w:style w:type="paragraph" w:styleId="TDC4">
    <w:name w:val="toc 4"/>
    <w:basedOn w:val="Normal"/>
    <w:uiPriority w:val="39"/>
    <w:qFormat/>
    <w:rsid w:val="009830DB"/>
    <w:pPr>
      <w:widowControl w:val="0"/>
      <w:autoSpaceDE w:val="0"/>
      <w:autoSpaceDN w:val="0"/>
      <w:spacing w:after="0"/>
      <w:ind w:left="660"/>
    </w:pPr>
    <w:rPr>
      <w:rFonts w:ascii="Calibri" w:eastAsia="Arial" w:hAnsi="Calibri" w:cs="Calibri"/>
      <w:sz w:val="20"/>
      <w:szCs w:val="20"/>
      <w:lang w:val="en-US"/>
    </w:rPr>
  </w:style>
  <w:style w:type="paragraph" w:styleId="TDC5">
    <w:name w:val="toc 5"/>
    <w:basedOn w:val="Normal"/>
    <w:uiPriority w:val="39"/>
    <w:qFormat/>
    <w:rsid w:val="009830DB"/>
    <w:pPr>
      <w:widowControl w:val="0"/>
      <w:autoSpaceDE w:val="0"/>
      <w:autoSpaceDN w:val="0"/>
      <w:spacing w:after="0"/>
      <w:ind w:left="880"/>
    </w:pPr>
    <w:rPr>
      <w:rFonts w:ascii="Calibri" w:eastAsia="Arial" w:hAnsi="Calibri" w:cs="Calibri"/>
      <w:sz w:val="20"/>
      <w:szCs w:val="20"/>
      <w:lang w:val="en-US"/>
    </w:rPr>
  </w:style>
  <w:style w:type="paragraph" w:styleId="TDC6">
    <w:name w:val="toc 6"/>
    <w:basedOn w:val="Normal"/>
    <w:uiPriority w:val="39"/>
    <w:qFormat/>
    <w:rsid w:val="009830DB"/>
    <w:pPr>
      <w:widowControl w:val="0"/>
      <w:autoSpaceDE w:val="0"/>
      <w:autoSpaceDN w:val="0"/>
      <w:spacing w:after="0"/>
      <w:ind w:left="1100"/>
    </w:pPr>
    <w:rPr>
      <w:rFonts w:ascii="Calibri" w:eastAsia="Arial" w:hAnsi="Calibri" w:cs="Calibri"/>
      <w:sz w:val="20"/>
      <w:szCs w:val="20"/>
      <w:lang w:val="en-US"/>
    </w:rPr>
  </w:style>
  <w:style w:type="paragraph" w:styleId="TDC7">
    <w:name w:val="toc 7"/>
    <w:basedOn w:val="Normal"/>
    <w:uiPriority w:val="39"/>
    <w:qFormat/>
    <w:rsid w:val="009830DB"/>
    <w:pPr>
      <w:widowControl w:val="0"/>
      <w:autoSpaceDE w:val="0"/>
      <w:autoSpaceDN w:val="0"/>
      <w:spacing w:after="0"/>
      <w:ind w:left="1320"/>
    </w:pPr>
    <w:rPr>
      <w:rFonts w:ascii="Calibri" w:eastAsia="Arial" w:hAnsi="Calibri" w:cs="Calibri"/>
      <w:sz w:val="20"/>
      <w:szCs w:val="20"/>
      <w:lang w:val="en-US"/>
    </w:rPr>
  </w:style>
  <w:style w:type="paragraph" w:styleId="TDC8">
    <w:name w:val="toc 8"/>
    <w:basedOn w:val="Normal"/>
    <w:uiPriority w:val="39"/>
    <w:qFormat/>
    <w:rsid w:val="009830DB"/>
    <w:pPr>
      <w:widowControl w:val="0"/>
      <w:autoSpaceDE w:val="0"/>
      <w:autoSpaceDN w:val="0"/>
      <w:spacing w:after="0"/>
      <w:ind w:left="1540"/>
    </w:pPr>
    <w:rPr>
      <w:rFonts w:ascii="Calibri" w:eastAsia="Arial" w:hAnsi="Calibri" w:cs="Calibri"/>
      <w:sz w:val="20"/>
      <w:szCs w:val="20"/>
      <w:lang w:val="en-US"/>
    </w:rPr>
  </w:style>
  <w:style w:type="paragraph" w:styleId="TDC9">
    <w:name w:val="toc 9"/>
    <w:basedOn w:val="Normal"/>
    <w:uiPriority w:val="39"/>
    <w:qFormat/>
    <w:rsid w:val="009830DB"/>
    <w:pPr>
      <w:widowControl w:val="0"/>
      <w:autoSpaceDE w:val="0"/>
      <w:autoSpaceDN w:val="0"/>
      <w:spacing w:after="0"/>
      <w:ind w:left="1760"/>
    </w:pPr>
    <w:rPr>
      <w:rFonts w:ascii="Calibri" w:eastAsia="Arial" w:hAnsi="Calibri" w:cs="Calibri"/>
      <w:sz w:val="20"/>
      <w:szCs w:val="20"/>
      <w:lang w:val="en-US"/>
    </w:rPr>
  </w:style>
  <w:style w:type="paragraph" w:styleId="Textoindependiente">
    <w:name w:val="Body Text"/>
    <w:basedOn w:val="Normal"/>
    <w:link w:val="TextoindependienteCar"/>
    <w:uiPriority w:val="99"/>
    <w:qFormat/>
    <w:rsid w:val="009830DB"/>
    <w:pPr>
      <w:widowControl w:val="0"/>
      <w:autoSpaceDE w:val="0"/>
      <w:autoSpaceDN w:val="0"/>
      <w:spacing w:after="0"/>
    </w:pPr>
    <w:rPr>
      <w:rFonts w:eastAsia="Arial" w:cs="Arial"/>
      <w:lang w:val="en-US"/>
    </w:rPr>
  </w:style>
  <w:style w:type="character" w:customStyle="1" w:styleId="TextoindependienteCar">
    <w:name w:val="Texto independiente Car"/>
    <w:basedOn w:val="Fuentedeprrafopredeter"/>
    <w:link w:val="Textoindependiente"/>
    <w:uiPriority w:val="99"/>
    <w:rsid w:val="009830DB"/>
    <w:rPr>
      <w:rFonts w:ascii="Arial" w:eastAsia="Arial" w:hAnsi="Arial" w:cs="Arial"/>
      <w:lang w:val="en-US"/>
    </w:rPr>
  </w:style>
  <w:style w:type="paragraph" w:styleId="Prrafodelista">
    <w:name w:val="List Paragraph"/>
    <w:aliases w:val="Párrafo"/>
    <w:basedOn w:val="Normal"/>
    <w:link w:val="PrrafodelistaCar"/>
    <w:uiPriority w:val="34"/>
    <w:qFormat/>
    <w:rsid w:val="009830DB"/>
    <w:pPr>
      <w:widowControl w:val="0"/>
      <w:autoSpaceDE w:val="0"/>
      <w:autoSpaceDN w:val="0"/>
      <w:spacing w:after="0"/>
      <w:ind w:left="1248" w:hanging="425"/>
    </w:pPr>
    <w:rPr>
      <w:rFonts w:eastAsia="Arial" w:cs="Arial"/>
      <w:lang w:val="en-US"/>
    </w:rPr>
  </w:style>
  <w:style w:type="paragraph" w:customStyle="1" w:styleId="TableParagraph">
    <w:name w:val="Table Paragraph"/>
    <w:basedOn w:val="Normal"/>
    <w:uiPriority w:val="1"/>
    <w:qFormat/>
    <w:rsid w:val="009830DB"/>
    <w:pPr>
      <w:widowControl w:val="0"/>
      <w:autoSpaceDE w:val="0"/>
      <w:autoSpaceDN w:val="0"/>
      <w:spacing w:after="0"/>
    </w:pPr>
    <w:rPr>
      <w:rFonts w:eastAsia="Arial" w:cs="Arial"/>
      <w:lang w:val="en-US"/>
    </w:rPr>
  </w:style>
  <w:style w:type="paragraph" w:styleId="Textodeglobo">
    <w:name w:val="Balloon Text"/>
    <w:basedOn w:val="Normal"/>
    <w:link w:val="TextodegloboCar"/>
    <w:uiPriority w:val="99"/>
    <w:semiHidden/>
    <w:unhideWhenUsed/>
    <w:rsid w:val="009830DB"/>
    <w:pPr>
      <w:widowControl w:val="0"/>
      <w:autoSpaceDE w:val="0"/>
      <w:autoSpaceDN w:val="0"/>
      <w:spacing w:after="0"/>
    </w:pPr>
    <w:rPr>
      <w:rFonts w:ascii="Tahoma" w:eastAsia="Arial" w:hAnsi="Tahoma" w:cs="Times New Roman"/>
      <w:sz w:val="16"/>
      <w:szCs w:val="16"/>
      <w:lang w:val="x-none" w:eastAsia="x-none"/>
    </w:rPr>
  </w:style>
  <w:style w:type="character" w:customStyle="1" w:styleId="TextodegloboCar">
    <w:name w:val="Texto de globo Car"/>
    <w:basedOn w:val="Fuentedeprrafopredeter"/>
    <w:link w:val="Textodeglobo"/>
    <w:uiPriority w:val="99"/>
    <w:semiHidden/>
    <w:rsid w:val="009830DB"/>
    <w:rPr>
      <w:rFonts w:ascii="Tahoma" w:eastAsia="Arial" w:hAnsi="Tahoma" w:cs="Times New Roman"/>
      <w:sz w:val="16"/>
      <w:szCs w:val="16"/>
      <w:lang w:val="x-none" w:eastAsia="x-none"/>
    </w:rPr>
  </w:style>
  <w:style w:type="paragraph" w:styleId="Textonotapie">
    <w:name w:val="footnote text"/>
    <w:aliases w:val=" Car Car Car, Car Car Car Car Car,Car Car Car,Car Car Car Car Car"/>
    <w:basedOn w:val="Normal"/>
    <w:link w:val="TextonotapieCar"/>
    <w:uiPriority w:val="99"/>
    <w:unhideWhenUsed/>
    <w:rsid w:val="009830DB"/>
    <w:pPr>
      <w:widowControl w:val="0"/>
      <w:autoSpaceDE w:val="0"/>
      <w:autoSpaceDN w:val="0"/>
      <w:spacing w:after="0"/>
    </w:pPr>
    <w:rPr>
      <w:rFonts w:eastAsia="Arial" w:cs="Times New Roman"/>
      <w:sz w:val="20"/>
      <w:szCs w:val="20"/>
      <w:lang w:val="x-none" w:eastAsia="x-none"/>
    </w:rPr>
  </w:style>
  <w:style w:type="character" w:customStyle="1" w:styleId="TextonotapieCar">
    <w:name w:val="Texto nota pie Car"/>
    <w:aliases w:val=" Car Car Car Car, Car Car Car Car Car Car,Car Car Car Car,Car Car Car Car Car Car"/>
    <w:basedOn w:val="Fuentedeprrafopredeter"/>
    <w:link w:val="Textonotapie"/>
    <w:uiPriority w:val="99"/>
    <w:rsid w:val="009830DB"/>
    <w:rPr>
      <w:rFonts w:ascii="Arial" w:eastAsia="Arial" w:hAnsi="Arial" w:cs="Times New Roman"/>
      <w:sz w:val="20"/>
      <w:szCs w:val="20"/>
      <w:lang w:val="x-none" w:eastAsia="x-none"/>
    </w:rPr>
  </w:style>
  <w:style w:type="character" w:styleId="Refdenotaalpie">
    <w:name w:val="footnote reference"/>
    <w:aliases w:val="Appel note de bas de page,referencia nota al pie,Texto de nota al pie,Nota de pie,Texto nota al pie,Footnotes refss,Footnote number,BVI fnr,f,ft Ca"/>
    <w:uiPriority w:val="99"/>
    <w:unhideWhenUsed/>
    <w:rsid w:val="009830DB"/>
    <w:rPr>
      <w:vertAlign w:val="superscript"/>
    </w:rPr>
  </w:style>
  <w:style w:type="character" w:styleId="Textoennegrita">
    <w:name w:val="Strong"/>
    <w:uiPriority w:val="22"/>
    <w:qFormat/>
    <w:rsid w:val="009830DB"/>
    <w:rPr>
      <w:b/>
      <w:bCs/>
    </w:rPr>
  </w:style>
  <w:style w:type="character" w:styleId="nfasis">
    <w:name w:val="Emphasis"/>
    <w:uiPriority w:val="20"/>
    <w:qFormat/>
    <w:rsid w:val="009830DB"/>
    <w:rPr>
      <w:i/>
      <w:iCs/>
    </w:rPr>
  </w:style>
  <w:style w:type="paragraph" w:styleId="NormalWeb">
    <w:name w:val="Normal (Web)"/>
    <w:basedOn w:val="Normal"/>
    <w:uiPriority w:val="99"/>
    <w:unhideWhenUsed/>
    <w:rsid w:val="009830DB"/>
    <w:pPr>
      <w:spacing w:before="100" w:beforeAutospacing="1" w:after="100" w:afterAutospacing="1"/>
    </w:pPr>
    <w:rPr>
      <w:rFonts w:ascii="Times New Roman" w:eastAsia="Times New Roman" w:hAnsi="Times New Roman" w:cs="Times New Roman"/>
      <w:sz w:val="24"/>
      <w:szCs w:val="24"/>
      <w:lang w:eastAsia="es-CO"/>
    </w:rPr>
  </w:style>
  <w:style w:type="character" w:styleId="Refdecomentario">
    <w:name w:val="annotation reference"/>
    <w:uiPriority w:val="99"/>
    <w:semiHidden/>
    <w:unhideWhenUsed/>
    <w:rsid w:val="009830DB"/>
    <w:rPr>
      <w:sz w:val="16"/>
      <w:szCs w:val="16"/>
    </w:rPr>
  </w:style>
  <w:style w:type="paragraph" w:styleId="Textocomentario">
    <w:name w:val="annotation text"/>
    <w:basedOn w:val="Normal"/>
    <w:link w:val="TextocomentarioCar"/>
    <w:uiPriority w:val="99"/>
    <w:unhideWhenUsed/>
    <w:rsid w:val="009830DB"/>
    <w:pPr>
      <w:widowControl w:val="0"/>
      <w:autoSpaceDE w:val="0"/>
      <w:autoSpaceDN w:val="0"/>
      <w:spacing w:after="0"/>
    </w:pPr>
    <w:rPr>
      <w:rFonts w:eastAsia="Arial" w:cs="Times New Roman"/>
      <w:sz w:val="20"/>
      <w:szCs w:val="20"/>
      <w:lang w:val="x-none" w:eastAsia="x-none"/>
    </w:rPr>
  </w:style>
  <w:style w:type="character" w:customStyle="1" w:styleId="TextocomentarioCar">
    <w:name w:val="Texto comentario Car"/>
    <w:basedOn w:val="Fuentedeprrafopredeter"/>
    <w:link w:val="Textocomentario"/>
    <w:uiPriority w:val="99"/>
    <w:rsid w:val="009830DB"/>
    <w:rPr>
      <w:rFonts w:ascii="Arial" w:eastAsia="Arial" w:hAnsi="Arial" w:cs="Times New Roman"/>
      <w:sz w:val="20"/>
      <w:szCs w:val="20"/>
      <w:lang w:val="x-none" w:eastAsia="x-none"/>
    </w:rPr>
  </w:style>
  <w:style w:type="paragraph" w:styleId="Asuntodelcomentario">
    <w:name w:val="annotation subject"/>
    <w:basedOn w:val="Textocomentario"/>
    <w:next w:val="Textocomentario"/>
    <w:link w:val="AsuntodelcomentarioCar"/>
    <w:uiPriority w:val="99"/>
    <w:semiHidden/>
    <w:unhideWhenUsed/>
    <w:rsid w:val="009830DB"/>
    <w:rPr>
      <w:b/>
      <w:bCs/>
    </w:rPr>
  </w:style>
  <w:style w:type="character" w:customStyle="1" w:styleId="AsuntodelcomentarioCar">
    <w:name w:val="Asunto del comentario Car"/>
    <w:basedOn w:val="TextocomentarioCar"/>
    <w:link w:val="Asuntodelcomentario"/>
    <w:uiPriority w:val="99"/>
    <w:semiHidden/>
    <w:rsid w:val="009830DB"/>
    <w:rPr>
      <w:rFonts w:ascii="Arial" w:eastAsia="Arial" w:hAnsi="Arial" w:cs="Times New Roman"/>
      <w:b/>
      <w:bCs/>
      <w:sz w:val="20"/>
      <w:szCs w:val="20"/>
      <w:lang w:val="x-none" w:eastAsia="x-none"/>
    </w:rPr>
  </w:style>
  <w:style w:type="paragraph" w:styleId="Revisin">
    <w:name w:val="Revision"/>
    <w:hidden/>
    <w:uiPriority w:val="99"/>
    <w:semiHidden/>
    <w:rsid w:val="009830DB"/>
    <w:pPr>
      <w:spacing w:after="0" w:line="240" w:lineRule="auto"/>
    </w:pPr>
    <w:rPr>
      <w:rFonts w:ascii="Arial" w:eastAsia="Arial" w:hAnsi="Arial" w:cs="Arial"/>
      <w:lang w:val="en-US"/>
    </w:rPr>
  </w:style>
  <w:style w:type="paragraph" w:styleId="Textonotaalfinal">
    <w:name w:val="endnote text"/>
    <w:basedOn w:val="Normal"/>
    <w:link w:val="TextonotaalfinalCar"/>
    <w:uiPriority w:val="99"/>
    <w:semiHidden/>
    <w:unhideWhenUsed/>
    <w:rsid w:val="009830DB"/>
    <w:pPr>
      <w:widowControl w:val="0"/>
      <w:autoSpaceDE w:val="0"/>
      <w:autoSpaceDN w:val="0"/>
      <w:spacing w:after="0"/>
    </w:pPr>
    <w:rPr>
      <w:rFonts w:eastAsia="Arial" w:cs="Times New Roman"/>
      <w:sz w:val="20"/>
      <w:szCs w:val="20"/>
      <w:lang w:val="x-none" w:eastAsia="x-none"/>
    </w:rPr>
  </w:style>
  <w:style w:type="character" w:customStyle="1" w:styleId="TextonotaalfinalCar">
    <w:name w:val="Texto nota al final Car"/>
    <w:basedOn w:val="Fuentedeprrafopredeter"/>
    <w:link w:val="Textonotaalfinal"/>
    <w:uiPriority w:val="99"/>
    <w:semiHidden/>
    <w:rsid w:val="009830DB"/>
    <w:rPr>
      <w:rFonts w:ascii="Arial" w:eastAsia="Arial" w:hAnsi="Arial" w:cs="Times New Roman"/>
      <w:sz w:val="20"/>
      <w:szCs w:val="20"/>
      <w:lang w:val="x-none" w:eastAsia="x-none"/>
    </w:rPr>
  </w:style>
  <w:style w:type="character" w:styleId="Refdenotaalfinal">
    <w:name w:val="endnote reference"/>
    <w:uiPriority w:val="99"/>
    <w:semiHidden/>
    <w:unhideWhenUsed/>
    <w:rsid w:val="009830DB"/>
    <w:rPr>
      <w:vertAlign w:val="superscript"/>
    </w:rPr>
  </w:style>
  <w:style w:type="paragraph" w:styleId="TtuloTDC">
    <w:name w:val="TOC Heading"/>
    <w:basedOn w:val="Ttulo1"/>
    <w:next w:val="Normal"/>
    <w:uiPriority w:val="39"/>
    <w:unhideWhenUsed/>
    <w:qFormat/>
    <w:rsid w:val="009830DB"/>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es-CO" w:eastAsia="es-CO"/>
    </w:rPr>
  </w:style>
  <w:style w:type="paragraph" w:styleId="Ttulo">
    <w:name w:val="Title"/>
    <w:basedOn w:val="Normal"/>
    <w:link w:val="TtuloCar"/>
    <w:qFormat/>
    <w:rsid w:val="009830DB"/>
    <w:pPr>
      <w:overflowPunct w:val="0"/>
      <w:autoSpaceDE w:val="0"/>
      <w:autoSpaceDN w:val="0"/>
      <w:adjustRightInd w:val="0"/>
      <w:spacing w:after="0" w:line="360" w:lineRule="auto"/>
      <w:jc w:val="center"/>
      <w:textAlignment w:val="baseline"/>
    </w:pPr>
    <w:rPr>
      <w:rFonts w:eastAsia="Times New Roman" w:cs="Times New Roman"/>
      <w:b/>
      <w:sz w:val="24"/>
      <w:szCs w:val="20"/>
      <w:lang w:val="es-ES" w:eastAsia="es-ES"/>
    </w:rPr>
  </w:style>
  <w:style w:type="character" w:customStyle="1" w:styleId="TtuloCar">
    <w:name w:val="Título Car"/>
    <w:basedOn w:val="Fuentedeprrafopredeter"/>
    <w:link w:val="Ttulo"/>
    <w:rsid w:val="009830DB"/>
    <w:rPr>
      <w:rFonts w:ascii="Arial" w:eastAsia="Times New Roman" w:hAnsi="Arial" w:cs="Times New Roman"/>
      <w:b/>
      <w:sz w:val="24"/>
      <w:szCs w:val="20"/>
      <w:lang w:val="es-ES" w:eastAsia="es-ES"/>
    </w:rPr>
  </w:style>
  <w:style w:type="paragraph" w:customStyle="1" w:styleId="ttulo0">
    <w:name w:val="título"/>
    <w:basedOn w:val="Normal"/>
    <w:rsid w:val="009830DB"/>
    <w:pPr>
      <w:widowControl w:val="0"/>
      <w:spacing w:after="0"/>
    </w:pPr>
    <w:rPr>
      <w:rFonts w:ascii="Courier New" w:eastAsia="Times New Roman" w:hAnsi="Courier New" w:cs="Times New Roman"/>
      <w:sz w:val="24"/>
      <w:szCs w:val="20"/>
      <w:lang w:eastAsia="es-ES"/>
    </w:rPr>
  </w:style>
  <w:style w:type="paragraph" w:customStyle="1" w:styleId="Default">
    <w:name w:val="Default"/>
    <w:rsid w:val="009830DB"/>
    <w:pPr>
      <w:autoSpaceDE w:val="0"/>
      <w:autoSpaceDN w:val="0"/>
      <w:adjustRightInd w:val="0"/>
      <w:spacing w:after="0" w:line="240" w:lineRule="auto"/>
    </w:pPr>
    <w:rPr>
      <w:rFonts w:ascii="Arial" w:eastAsia="Calibri" w:hAnsi="Arial" w:cs="Arial"/>
      <w:color w:val="000000"/>
      <w:sz w:val="24"/>
      <w:szCs w:val="24"/>
      <w:lang w:eastAsia="es-CO"/>
    </w:rPr>
  </w:style>
  <w:style w:type="paragraph" w:customStyle="1" w:styleId="nueve">
    <w:name w:val="nueve"/>
    <w:basedOn w:val="Normal"/>
    <w:rsid w:val="009830DB"/>
    <w:pPr>
      <w:spacing w:before="100" w:beforeAutospacing="1" w:after="100" w:afterAutospacing="1"/>
    </w:pPr>
    <w:rPr>
      <w:rFonts w:ascii="Times New Roman" w:eastAsia="Times New Roman" w:hAnsi="Times New Roman" w:cs="Times New Roman"/>
      <w:sz w:val="24"/>
      <w:szCs w:val="24"/>
      <w:lang w:eastAsia="es-CO"/>
    </w:rPr>
  </w:style>
  <w:style w:type="character" w:customStyle="1" w:styleId="Mencinsinresolver1">
    <w:name w:val="Mención sin resolver1"/>
    <w:uiPriority w:val="99"/>
    <w:semiHidden/>
    <w:unhideWhenUsed/>
    <w:rsid w:val="009830DB"/>
    <w:rPr>
      <w:color w:val="605E5C"/>
      <w:shd w:val="clear" w:color="auto" w:fill="E1DFDD"/>
    </w:rPr>
  </w:style>
  <w:style w:type="character" w:styleId="Nmerodepgina">
    <w:name w:val="page number"/>
    <w:basedOn w:val="Fuentedeprrafopredeter"/>
    <w:uiPriority w:val="99"/>
    <w:semiHidden/>
    <w:unhideWhenUsed/>
    <w:rsid w:val="002A4DCB"/>
  </w:style>
  <w:style w:type="character" w:customStyle="1" w:styleId="Mencinsinresolver2">
    <w:name w:val="Mención sin resolver2"/>
    <w:basedOn w:val="Fuentedeprrafopredeter"/>
    <w:uiPriority w:val="99"/>
    <w:semiHidden/>
    <w:unhideWhenUsed/>
    <w:rsid w:val="00827A41"/>
    <w:rPr>
      <w:color w:val="605E5C"/>
      <w:shd w:val="clear" w:color="auto" w:fill="E1DFDD"/>
    </w:rPr>
  </w:style>
  <w:style w:type="character" w:styleId="Hipervnculovisitado">
    <w:name w:val="FollowedHyperlink"/>
    <w:basedOn w:val="Fuentedeprrafopredeter"/>
    <w:uiPriority w:val="99"/>
    <w:semiHidden/>
    <w:unhideWhenUsed/>
    <w:rsid w:val="00827A41"/>
    <w:rPr>
      <w:color w:val="954F72" w:themeColor="followedHyperlink"/>
      <w:u w:val="single"/>
    </w:rPr>
  </w:style>
  <w:style w:type="paragraph" w:customStyle="1" w:styleId="paragraph">
    <w:name w:val="paragraph"/>
    <w:basedOn w:val="Normal"/>
    <w:rsid w:val="00827A41"/>
    <w:pPr>
      <w:spacing w:before="100" w:beforeAutospacing="1" w:after="100" w:afterAutospacing="1"/>
    </w:pPr>
    <w:rPr>
      <w:rFonts w:ascii="Times New Roman" w:eastAsia="Times New Roman" w:hAnsi="Times New Roman" w:cs="Times New Roman"/>
      <w:sz w:val="24"/>
      <w:szCs w:val="24"/>
      <w:lang w:val="en-US"/>
    </w:rPr>
  </w:style>
  <w:style w:type="character" w:customStyle="1" w:styleId="normaltextrun">
    <w:name w:val="normaltextrun"/>
    <w:basedOn w:val="Fuentedeprrafopredeter"/>
    <w:rsid w:val="00827A41"/>
  </w:style>
  <w:style w:type="character" w:customStyle="1" w:styleId="eop">
    <w:name w:val="eop"/>
    <w:basedOn w:val="Fuentedeprrafopredeter"/>
    <w:rsid w:val="00827A41"/>
  </w:style>
  <w:style w:type="paragraph" w:styleId="Sangradetextonormal">
    <w:name w:val="Body Text Indent"/>
    <w:basedOn w:val="Normal"/>
    <w:link w:val="SangradetextonormalCar"/>
    <w:uiPriority w:val="99"/>
    <w:semiHidden/>
    <w:unhideWhenUsed/>
    <w:rsid w:val="00827A41"/>
    <w:pPr>
      <w:spacing w:after="120"/>
      <w:ind w:left="283"/>
    </w:pPr>
    <w:rPr>
      <w:lang w:val="es-ES"/>
    </w:rPr>
  </w:style>
  <w:style w:type="character" w:customStyle="1" w:styleId="SangradetextonormalCar">
    <w:name w:val="Sangría de texto normal Car"/>
    <w:basedOn w:val="Fuentedeprrafopredeter"/>
    <w:link w:val="Sangradetextonormal"/>
    <w:uiPriority w:val="99"/>
    <w:semiHidden/>
    <w:rsid w:val="00827A41"/>
    <w:rPr>
      <w:rFonts w:ascii="Arial" w:hAnsi="Arial"/>
      <w:lang w:val="es-ES"/>
    </w:rPr>
  </w:style>
  <w:style w:type="paragraph" w:styleId="Bibliografa">
    <w:name w:val="Bibliography"/>
    <w:basedOn w:val="Normal"/>
    <w:next w:val="Normal"/>
    <w:uiPriority w:val="37"/>
    <w:unhideWhenUsed/>
    <w:rsid w:val="00827A41"/>
    <w:pPr>
      <w:spacing w:after="160"/>
    </w:pPr>
    <w:rPr>
      <w:lang w:val="es-ES"/>
    </w:rPr>
  </w:style>
  <w:style w:type="character" w:customStyle="1" w:styleId="Mencinsinresolver3">
    <w:name w:val="Mención sin resolver3"/>
    <w:basedOn w:val="Fuentedeprrafopredeter"/>
    <w:uiPriority w:val="99"/>
    <w:semiHidden/>
    <w:unhideWhenUsed/>
    <w:rsid w:val="00827A41"/>
    <w:rPr>
      <w:color w:val="605E5C"/>
      <w:shd w:val="clear" w:color="auto" w:fill="E1DFDD"/>
    </w:rPr>
  </w:style>
  <w:style w:type="character" w:customStyle="1" w:styleId="Mencinsinresolver4">
    <w:name w:val="Mención sin resolver4"/>
    <w:basedOn w:val="Fuentedeprrafopredeter"/>
    <w:uiPriority w:val="99"/>
    <w:semiHidden/>
    <w:unhideWhenUsed/>
    <w:rsid w:val="00827A41"/>
    <w:rPr>
      <w:color w:val="605E5C"/>
      <w:shd w:val="clear" w:color="auto" w:fill="E1DFDD"/>
    </w:rPr>
  </w:style>
  <w:style w:type="numbering" w:customStyle="1" w:styleId="Estilo1">
    <w:name w:val="Estilo1"/>
    <w:uiPriority w:val="99"/>
    <w:rsid w:val="00827A41"/>
    <w:pPr>
      <w:numPr>
        <w:numId w:val="3"/>
      </w:numPr>
    </w:pPr>
  </w:style>
  <w:style w:type="table" w:styleId="Tablaconcuadrcula">
    <w:name w:val="Table Grid"/>
    <w:basedOn w:val="Tablanormal"/>
    <w:uiPriority w:val="39"/>
    <w:rsid w:val="00827A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Párrafo Car"/>
    <w:link w:val="Prrafodelista"/>
    <w:uiPriority w:val="34"/>
    <w:rsid w:val="00827A41"/>
    <w:rPr>
      <w:rFonts w:ascii="Arial" w:eastAsia="Arial" w:hAnsi="Arial" w:cs="Arial"/>
      <w:lang w:val="en-US"/>
    </w:rPr>
  </w:style>
  <w:style w:type="paragraph" w:styleId="Descripcin">
    <w:name w:val="caption"/>
    <w:basedOn w:val="Normal"/>
    <w:next w:val="Normal"/>
    <w:uiPriority w:val="35"/>
    <w:unhideWhenUsed/>
    <w:qFormat/>
    <w:rsid w:val="00827A41"/>
    <w:rPr>
      <w:i/>
      <w:iCs/>
      <w:color w:val="44546A" w:themeColor="text2"/>
      <w:sz w:val="18"/>
      <w:szCs w:val="18"/>
      <w:lang w:val="es-ES"/>
    </w:rPr>
  </w:style>
  <w:style w:type="paragraph" w:styleId="Tabladeilustraciones">
    <w:name w:val="table of figures"/>
    <w:basedOn w:val="Normal"/>
    <w:next w:val="Normal"/>
    <w:uiPriority w:val="99"/>
    <w:unhideWhenUsed/>
    <w:rsid w:val="00827A41"/>
    <w:pPr>
      <w:spacing w:after="0"/>
    </w:pPr>
    <w:rPr>
      <w:lang w:val="es-ES"/>
    </w:rPr>
  </w:style>
  <w:style w:type="character" w:customStyle="1" w:styleId="Mencinsinresolver5">
    <w:name w:val="Mención sin resolver5"/>
    <w:basedOn w:val="Fuentedeprrafopredeter"/>
    <w:uiPriority w:val="99"/>
    <w:semiHidden/>
    <w:unhideWhenUsed/>
    <w:rsid w:val="00827A41"/>
    <w:rPr>
      <w:color w:val="605E5C"/>
      <w:shd w:val="clear" w:color="auto" w:fill="E1DFDD"/>
    </w:rPr>
  </w:style>
  <w:style w:type="character" w:customStyle="1" w:styleId="Mencinsinresolver6">
    <w:name w:val="Mención sin resolver6"/>
    <w:basedOn w:val="Fuentedeprrafopredeter"/>
    <w:uiPriority w:val="99"/>
    <w:semiHidden/>
    <w:unhideWhenUsed/>
    <w:rsid w:val="00827A41"/>
    <w:rPr>
      <w:color w:val="605E5C"/>
      <w:shd w:val="clear" w:color="auto" w:fill="E1DFDD"/>
    </w:rPr>
  </w:style>
  <w:style w:type="character" w:customStyle="1" w:styleId="Mencinsinresolver7">
    <w:name w:val="Mención sin resolver7"/>
    <w:basedOn w:val="Fuentedeprrafopredeter"/>
    <w:uiPriority w:val="99"/>
    <w:semiHidden/>
    <w:unhideWhenUsed/>
    <w:rsid w:val="00827A41"/>
    <w:rPr>
      <w:color w:val="605E5C"/>
      <w:shd w:val="clear" w:color="auto" w:fill="E1DFDD"/>
    </w:rPr>
  </w:style>
  <w:style w:type="character" w:customStyle="1" w:styleId="Mencinsinresolver8">
    <w:name w:val="Mención sin resolver8"/>
    <w:basedOn w:val="Fuentedeprrafopredeter"/>
    <w:uiPriority w:val="99"/>
    <w:semiHidden/>
    <w:unhideWhenUsed/>
    <w:rsid w:val="00827A41"/>
    <w:rPr>
      <w:color w:val="605E5C"/>
      <w:shd w:val="clear" w:color="auto" w:fill="E1DFDD"/>
    </w:rPr>
  </w:style>
  <w:style w:type="paragraph" w:customStyle="1" w:styleId="CM1">
    <w:name w:val="CM1"/>
    <w:basedOn w:val="Default"/>
    <w:next w:val="Default"/>
    <w:uiPriority w:val="99"/>
    <w:rsid w:val="00827A41"/>
    <w:rPr>
      <w:rFonts w:ascii="EU Albertina" w:eastAsiaTheme="minorHAnsi" w:hAnsi="EU Albertina" w:cstheme="minorBidi"/>
      <w:color w:val="auto"/>
      <w:lang w:eastAsia="en-US"/>
    </w:rPr>
  </w:style>
  <w:style w:type="paragraph" w:customStyle="1" w:styleId="CM3">
    <w:name w:val="CM3"/>
    <w:basedOn w:val="Default"/>
    <w:next w:val="Default"/>
    <w:uiPriority w:val="99"/>
    <w:rsid w:val="00827A41"/>
    <w:rPr>
      <w:rFonts w:ascii="EU Albertina" w:eastAsiaTheme="minorHAnsi" w:hAnsi="EU Albertina" w:cstheme="minorBidi"/>
      <w:color w:val="auto"/>
      <w:lang w:eastAsia="en-US"/>
    </w:rPr>
  </w:style>
  <w:style w:type="paragraph" w:customStyle="1" w:styleId="pf0">
    <w:name w:val="pf0"/>
    <w:basedOn w:val="Normal"/>
    <w:rsid w:val="00827A41"/>
    <w:pPr>
      <w:spacing w:before="100" w:beforeAutospacing="1" w:after="100" w:afterAutospacing="1"/>
    </w:pPr>
    <w:rPr>
      <w:rFonts w:ascii="Times New Roman" w:eastAsia="Times New Roman" w:hAnsi="Times New Roman" w:cs="Times New Roman"/>
      <w:sz w:val="24"/>
      <w:szCs w:val="24"/>
      <w:lang w:eastAsia="es-CO"/>
    </w:rPr>
  </w:style>
  <w:style w:type="character" w:customStyle="1" w:styleId="cf01">
    <w:name w:val="cf01"/>
    <w:basedOn w:val="Fuentedeprrafopredeter"/>
    <w:rsid w:val="00827A41"/>
    <w:rPr>
      <w:rFonts w:ascii="Segoe UI" w:hAnsi="Segoe UI" w:cs="Segoe UI" w:hint="default"/>
      <w:sz w:val="18"/>
      <w:szCs w:val="18"/>
    </w:rPr>
  </w:style>
  <w:style w:type="character" w:customStyle="1" w:styleId="Mencinsinresolver9">
    <w:name w:val="Mención sin resolver9"/>
    <w:basedOn w:val="Fuentedeprrafopredeter"/>
    <w:uiPriority w:val="99"/>
    <w:semiHidden/>
    <w:unhideWhenUsed/>
    <w:rsid w:val="00827A41"/>
    <w:rPr>
      <w:color w:val="605E5C"/>
      <w:shd w:val="clear" w:color="auto" w:fill="E1DFDD"/>
    </w:rPr>
  </w:style>
  <w:style w:type="character" w:customStyle="1" w:styleId="s14">
    <w:name w:val="s14"/>
    <w:basedOn w:val="Fuentedeprrafopredeter"/>
    <w:rsid w:val="00827A41"/>
  </w:style>
  <w:style w:type="character" w:customStyle="1" w:styleId="s11">
    <w:name w:val="s11"/>
    <w:basedOn w:val="Fuentedeprrafopredeter"/>
    <w:rsid w:val="00827A41"/>
  </w:style>
  <w:style w:type="character" w:customStyle="1" w:styleId="apple-converted-space">
    <w:name w:val="apple-converted-space"/>
    <w:basedOn w:val="Fuentedeprrafopredeter"/>
    <w:rsid w:val="00827A41"/>
  </w:style>
  <w:style w:type="paragraph" w:customStyle="1" w:styleId="s25">
    <w:name w:val="s25"/>
    <w:basedOn w:val="Normal"/>
    <w:rsid w:val="00827A41"/>
    <w:pPr>
      <w:spacing w:before="100" w:beforeAutospacing="1" w:after="100" w:afterAutospacing="1"/>
    </w:pPr>
    <w:rPr>
      <w:rFonts w:ascii="Times New Roman" w:eastAsiaTheme="minorEastAsia" w:hAnsi="Times New Roman" w:cs="Times New Roman"/>
      <w:sz w:val="24"/>
      <w:szCs w:val="24"/>
      <w:lang w:eastAsia="es-ES"/>
    </w:rPr>
  </w:style>
  <w:style w:type="character" w:customStyle="1" w:styleId="s26">
    <w:name w:val="s26"/>
    <w:basedOn w:val="Fuentedeprrafopredeter"/>
    <w:rsid w:val="00827A41"/>
  </w:style>
  <w:style w:type="character" w:customStyle="1" w:styleId="wacimagecontainer">
    <w:name w:val="wacimagecontainer"/>
    <w:basedOn w:val="Fuentedeprrafopredeter"/>
    <w:rsid w:val="00827A41"/>
  </w:style>
  <w:style w:type="character" w:customStyle="1" w:styleId="fontstyle01">
    <w:name w:val="fontstyle01"/>
    <w:basedOn w:val="Fuentedeprrafopredeter"/>
    <w:rsid w:val="00827A41"/>
    <w:rPr>
      <w:rFonts w:ascii="Arial" w:hAnsi="Arial" w:cs="Arial" w:hint="default"/>
      <w:b w:val="0"/>
      <w:bCs w:val="0"/>
      <w:i w:val="0"/>
      <w:iCs w:val="0"/>
      <w:color w:val="000000"/>
      <w:sz w:val="24"/>
      <w:szCs w:val="24"/>
    </w:rPr>
  </w:style>
  <w:style w:type="character" w:customStyle="1" w:styleId="UnresolvedMention1">
    <w:name w:val="Unresolved Mention1"/>
    <w:basedOn w:val="Fuentedeprrafopredeter"/>
    <w:uiPriority w:val="99"/>
    <w:semiHidden/>
    <w:unhideWhenUsed/>
    <w:rsid w:val="00827A41"/>
    <w:rPr>
      <w:color w:val="605E5C"/>
      <w:shd w:val="clear" w:color="auto" w:fill="E1DFDD"/>
    </w:rPr>
  </w:style>
  <w:style w:type="table" w:styleId="Tabladecuadrcula4-nfasis6">
    <w:name w:val="Grid Table 4 Accent 6"/>
    <w:basedOn w:val="Tablanormal"/>
    <w:uiPriority w:val="49"/>
    <w:rsid w:val="00827A41"/>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UnresolvedMention">
    <w:name w:val="Unresolved Mention"/>
    <w:basedOn w:val="Fuentedeprrafopredeter"/>
    <w:uiPriority w:val="99"/>
    <w:semiHidden/>
    <w:unhideWhenUsed/>
    <w:rsid w:val="00827A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0151682">
      <w:bodyDiv w:val="1"/>
      <w:marLeft w:val="0"/>
      <w:marRight w:val="0"/>
      <w:marTop w:val="0"/>
      <w:marBottom w:val="0"/>
      <w:divBdr>
        <w:top w:val="none" w:sz="0" w:space="0" w:color="auto"/>
        <w:left w:val="none" w:sz="0" w:space="0" w:color="auto"/>
        <w:bottom w:val="none" w:sz="0" w:space="0" w:color="auto"/>
        <w:right w:val="none" w:sz="0" w:space="0" w:color="auto"/>
      </w:divBdr>
    </w:div>
    <w:div w:id="1417242840">
      <w:bodyDiv w:val="1"/>
      <w:marLeft w:val="0"/>
      <w:marRight w:val="0"/>
      <w:marTop w:val="0"/>
      <w:marBottom w:val="0"/>
      <w:divBdr>
        <w:top w:val="none" w:sz="0" w:space="0" w:color="auto"/>
        <w:left w:val="none" w:sz="0" w:space="0" w:color="auto"/>
        <w:bottom w:val="none" w:sz="0" w:space="0" w:color="auto"/>
        <w:right w:val="none" w:sz="0" w:space="0" w:color="auto"/>
      </w:divBdr>
    </w:div>
    <w:div w:id="1533805864">
      <w:bodyDiv w:val="1"/>
      <w:marLeft w:val="0"/>
      <w:marRight w:val="0"/>
      <w:marTop w:val="0"/>
      <w:marBottom w:val="0"/>
      <w:divBdr>
        <w:top w:val="none" w:sz="0" w:space="0" w:color="auto"/>
        <w:left w:val="none" w:sz="0" w:space="0" w:color="auto"/>
        <w:bottom w:val="none" w:sz="0" w:space="0" w:color="auto"/>
        <w:right w:val="none" w:sz="0" w:space="0" w:color="auto"/>
      </w:divBdr>
      <w:divsChild>
        <w:div w:id="1017387815">
          <w:marLeft w:val="0"/>
          <w:marRight w:val="0"/>
          <w:marTop w:val="0"/>
          <w:marBottom w:val="0"/>
          <w:divBdr>
            <w:top w:val="none" w:sz="0" w:space="0" w:color="auto"/>
            <w:left w:val="none" w:sz="0" w:space="0" w:color="auto"/>
            <w:bottom w:val="none" w:sz="0" w:space="0" w:color="auto"/>
            <w:right w:val="none" w:sz="0" w:space="0" w:color="auto"/>
          </w:divBdr>
        </w:div>
        <w:div w:id="1754930655">
          <w:marLeft w:val="0"/>
          <w:marRight w:val="0"/>
          <w:marTop w:val="0"/>
          <w:marBottom w:val="0"/>
          <w:divBdr>
            <w:top w:val="none" w:sz="0" w:space="0" w:color="auto"/>
            <w:left w:val="none" w:sz="0" w:space="0" w:color="auto"/>
            <w:bottom w:val="none" w:sz="0" w:space="0" w:color="auto"/>
            <w:right w:val="none" w:sz="0" w:space="0" w:color="auto"/>
          </w:divBdr>
        </w:div>
      </w:divsChild>
    </w:div>
    <w:div w:id="1568686542">
      <w:bodyDiv w:val="1"/>
      <w:marLeft w:val="0"/>
      <w:marRight w:val="0"/>
      <w:marTop w:val="0"/>
      <w:marBottom w:val="0"/>
      <w:divBdr>
        <w:top w:val="none" w:sz="0" w:space="0" w:color="auto"/>
        <w:left w:val="none" w:sz="0" w:space="0" w:color="auto"/>
        <w:bottom w:val="none" w:sz="0" w:space="0" w:color="auto"/>
        <w:right w:val="none" w:sz="0" w:space="0" w:color="auto"/>
      </w:divBdr>
      <w:divsChild>
        <w:div w:id="1275361670">
          <w:marLeft w:val="0"/>
          <w:marRight w:val="0"/>
          <w:marTop w:val="0"/>
          <w:marBottom w:val="0"/>
          <w:divBdr>
            <w:top w:val="none" w:sz="0" w:space="0" w:color="auto"/>
            <w:left w:val="none" w:sz="0" w:space="0" w:color="auto"/>
            <w:bottom w:val="none" w:sz="0" w:space="0" w:color="auto"/>
            <w:right w:val="none" w:sz="0" w:space="0" w:color="auto"/>
          </w:divBdr>
        </w:div>
        <w:div w:id="612565033">
          <w:marLeft w:val="0"/>
          <w:marRight w:val="0"/>
          <w:marTop w:val="0"/>
          <w:marBottom w:val="0"/>
          <w:divBdr>
            <w:top w:val="none" w:sz="0" w:space="0" w:color="auto"/>
            <w:left w:val="none" w:sz="0" w:space="0" w:color="auto"/>
            <w:bottom w:val="none" w:sz="0" w:space="0" w:color="auto"/>
            <w:right w:val="none" w:sz="0" w:space="0" w:color="auto"/>
          </w:divBdr>
        </w:div>
      </w:divsChild>
    </w:div>
    <w:div w:id="2083062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secretariasenado.gov.co/senado/basedoc/acto_legislativo_01_1999.html" TargetMode="Externa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ica.gov.co/areas/agricola/servicios/regulacion-y-control-de-plaguicidas-quimicos.asp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notes.xml.rels><?xml version="1.0" encoding="UTF-8" standalone="yes"?>
<Relationships xmlns="http://schemas.openxmlformats.org/package/2006/relationships"><Relationship Id="rId1" Type="http://schemas.openxmlformats.org/officeDocument/2006/relationships/hyperlink" Target="https://www.mdpi.com/2073-4441/13/14/1942/ht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5.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E329409DE934EBBA7C0F89A23CC4147"/>
        <w:category>
          <w:name w:val="General"/>
          <w:gallery w:val="placeholder"/>
        </w:category>
        <w:types>
          <w:type w:val="bbPlcHdr"/>
        </w:types>
        <w:behaviors>
          <w:behavior w:val="content"/>
        </w:behaviors>
        <w:guid w:val="{03EC678E-F9F7-4C98-9945-0DEE2761D90D}"/>
      </w:docPartPr>
      <w:docPartBody>
        <w:p w:rsidR="00AE0D7D" w:rsidRDefault="00AE0D7D"/>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EU Albertina">
    <w:altName w:val="Cambria"/>
    <w:charset w:val="00"/>
    <w:family w:val="roman"/>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ptos">
    <w:altName w:val="Calibri"/>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Roboto">
    <w:charset w:val="00"/>
    <w:family w:val="auto"/>
    <w:pitch w:val="variable"/>
    <w:sig w:usb0="E0000AFF" w:usb1="5000217F" w:usb2="00000021" w:usb3="00000000" w:csb0="0000019F" w:csb1="00000000"/>
  </w:font>
  <w:font w:name="Humanist777BT-LightB">
    <w:altName w:val="Yu Gothic"/>
    <w:charset w:val="80"/>
    <w:family w:val="auto"/>
    <w:pitch w:val="default"/>
    <w:sig w:usb0="00000003" w:usb1="08070000" w:usb2="00000010" w:usb3="00000000" w:csb0="0002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745B"/>
    <w:rsid w:val="00093BCE"/>
    <w:rsid w:val="008F745B"/>
    <w:rsid w:val="00AE0D7D"/>
    <w:rsid w:val="00E968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Uni25</b:Tag>
    <b:SourceType>InternetSite</b:SourceType>
    <b:Guid>{6D5C384B-585A-4AEC-97CB-7ACFD7E23745}</b:Guid>
    <b:Title>Evaluaciones Agropecuarias Municipales</b:Title>
    <b:Year>2025</b:Year>
    <b:Author>
      <b:Author>
        <b:Corporate>Unidad de Planificación Rural Agropecuaria</b:Corporate>
      </b:Author>
    </b:Author>
    <b:URL>https://upra.gov.co/es-co/search/node?keys=eva%202024</b:URL>
    <b:RefOrder>1</b:RefOrder>
  </b:Source>
  <b:Source>
    <b:Tag>ASO21</b:Tag>
    <b:SourceType>Report</b:SourceType>
    <b:Guid>{73C3F69F-6A9E-413F-B479-2F35F07DD2AE}</b:Guid>
    <b:Author>
      <b:Author>
        <b:NameList>
          <b:Person>
            <b:Last>ASOCARS</b:Last>
          </b:Person>
        </b:NameList>
      </b:Author>
    </b:Author>
    <b:Title> Memorias taller  Construcción de la ruta metodológica para la construcción de Lineamientos y directrices del cultivo ambientalmente sostenible del Aguacate Hass</b:Title>
    <b:Year>2021</b:Year>
    <b:RefOrder>2</b:RefOrder>
  </b:Source>
  <b:Source>
    <b:Tag>Uni18</b:Tag>
    <b:SourceType>Book</b:SourceType>
    <b:Guid>{82805B5F-53D3-451C-8A27-4A9E58A1FA92}</b:Guid>
    <b:Author>
      <b:Author>
        <b:Corporate>Unidad de Planificación Rural Agropecuaria - UPRA</b:Corporate>
      </b:Author>
    </b:Author>
    <b:Title>Cultivo comercial de aguacate hass Identificación de zonas aptas en Colombia a escala 1:100.000</b:Title>
    <b:Year>2018</b:Year>
    <b:City>Bogotá, D.C.</b:City>
    <b:Publisher>UPRA</b:Publisher>
    <b:RefOrder>3</b:RefOrder>
  </b:Source>
  <b:Source>
    <b:Tag>Ide23</b:Tag>
    <b:SourceType>Book</b:SourceType>
    <b:Guid>{D23980D8-EDA8-4A6C-BAF9-00301738D1B6}</b:Guid>
    <b:Author>
      <b:Author>
        <b:Corporate>Ideam</b:Corporate>
      </b:Author>
    </b:Author>
    <b:Title>Estudio Nacional del Agua 2022. </b:Title>
    <b:Year>2023</b:Year>
    <b:City>Bogotá, D.C.</b:City>
    <b:Publisher>Ideam</b:Publisher>
    <b:RefOrder>4</b:RefOrder>
  </b:Source>
  <b:Source>
    <b:Tag>Era21</b:Tag>
    <b:SourceType>JournalArticle</b:SourceType>
    <b:Guid>{D17CD5B0-FEC7-45D6-B536-2C5846F540AB}</b:Guid>
    <b:Title>Avocado cv. Hass Needs Water Irrigation in Tropical Precipitation Regime: Evidence from Colombia</b:Title>
    <b:Year>2021</b:Year>
    <b:Author>
      <b:Author>
        <b:NameList>
          <b:Person>
            <b:Last>Erazo</b:Last>
            <b:First>E.,</b:First>
            <b:Middle>Ramírez, J., Sánchez, A.</b:Middle>
          </b:Person>
        </b:NameList>
      </b:Author>
    </b:Author>
    <b:JournalName>Water</b:JournalName>
    <b:Pages>1942</b:Pages>
    <b:Volume>13</b:Volume>
    <b:RefOrder>5</b:RefOrder>
  </b:Source>
  <b:Source>
    <b:Tag>pag</b:Tag>
    <b:SourceType>InternetSite</b:SourceType>
    <b:Guid>{363BF265-A3F3-41A3-B5CF-96E6CDF1DDFE}</b:Guid>
    <b:Title>pagina oficial globalgap.org</b:Title>
    <b:RefOrder>6</b:RefOrder>
  </b:Source>
  <b:Source>
    <b:Tag>Pre15</b:Tag>
    <b:SourceType>Book</b:SourceType>
    <b:Guid>{3BFBC29C-BBC9-45F7-B4B4-861631462FA1}</b:Guid>
    <b:Author>
      <b:Author>
        <b:Corporate>Presidencia de la República de Colombia</b:Corporate>
      </b:Author>
    </b:Author>
    <b:Title>Decreto 1076 de 2015 Por medio del cual se expide el Decreto Único Reglamentario del Sector Ambiente y Desarrollo Sostenible.</b:Title>
    <b:Year>2015</b:Year>
    <b:RefOrder>7</b:RefOrder>
  </b:Source>
  <b:Source>
    <b:Tag>Pre59</b:Tag>
    <b:SourceType>Book</b:SourceType>
    <b:Guid>{BA1DA9E4-C3A5-4C15-B1A0-75D41A21AF2B}</b:Guid>
    <b:Author>
      <b:Author>
        <b:Corporate>Presidencia de la República</b:Corporate>
      </b:Author>
    </b:Author>
    <b:Title>Ley 2 de 1959 sobre Economía Forestal de la Nación y Conservación de Recursos Naturales Renovables</b:Title>
    <b:Year>1959</b:Year>
    <b:City>Bogotá</b:City>
    <b:RefOrder>8</b:RefOrder>
  </b:Source>
  <b:Source>
    <b:Tag>Pre74</b:Tag>
    <b:SourceType>Book</b:SourceType>
    <b:Guid>{CAE0875C-E898-4246-9587-855E0A22BB86}</b:Guid>
    <b:Author>
      <b:Author>
        <b:Corporate>Presidencia de la República de Colombia</b:Corporate>
      </b:Author>
    </b:Author>
    <b:Title>Decreto Ley 2811 de 1974 - Código de los recursos naturales</b:Title>
    <b:Year>1974</b:Year>
    <b:RefOrder>9</b:RefOrder>
  </b:Source>
  <b:Source>
    <b:Tag>CON21</b:Tag>
    <b:SourceType>Book</b:SourceType>
    <b:Guid>{FBE4EBF6-1808-497D-9393-33CF0910D020}</b:Guid>
    <b:Title>Ley 2111 de 2021 Por medio del cual se sustituye el título XI "de los delitos contra los recursos naturaales y el medio ambiente de la Ley 599 de 2000, se modifica la Ley 906 de 2004 y se dictan otras disposiciones</b:Title>
    <b:Year>2021</b:Year>
    <b:Author>
      <b:Author>
        <b:Corporate>Congreso de la República de Colombia</b:Corporate>
      </b:Author>
    </b:Author>
    <b:URL>https://www.minambiente.gov.co/wp-content/uploads/2021/06/ley-2111-2021.pdf</b:URL>
    <b:City>Bogotá</b:City>
    <b:RefOrder>10</b:RefOrder>
  </b:Source>
  <b:Source>
    <b:Tag>MAV10</b:Tag>
    <b:SourceType>Book</b:SourceType>
    <b:Guid>{E06D57BD-8923-41B4-B948-FCEAB2410C3F}</b:Guid>
    <b:Title>Política Nacional de Producción y Consumo Sostenible</b:Title>
    <b:Year>2010</b:Year>
    <b:City>Bogotá</b:City>
    <b:Author>
      <b:Author>
        <b:Corporate>Colombia. Ministerio de Ambiente, Vivienda y Desarrollo Territorial</b:Corporate>
      </b:Author>
      <b:BookAuthor>
        <b:NameList>
          <b:Person>
            <b:Last>Ministerio de Ambiente</b:Last>
            <b:First>Vivienda</b:First>
            <b:Middle>y Desarrollo Territorial</b:Middle>
          </b:Person>
        </b:NameList>
      </b:BookAuthor>
    </b:Author>
    <b:Pages>71</b:Pages>
    <b:YearAccessed>2022</b:YearAccessed>
    <b:URL>https://rds.org.co/apc-aa-files/ba03645a7c069b5ed406f13122a61c07/polit_nal_produccion_consumo_sostenible-2010.pdf</b:URL>
    <b:Publisher>Ministerio de Ambiente, Vivienda y Desarrollo Territorial</b:Publisher>
    <b:RefOrder>11</b:RefOrder>
  </b:Source>
  <b:Source>
    <b:Tag>MMA97</b:Tag>
    <b:SourceType>Book</b:SourceType>
    <b:Guid>{1DAC93FC-7BB1-433D-9293-E6B586954602}</b:Guid>
    <b:Title>Politica Nacional de Producción Mas Limpia</b:Title>
    <b:Year>1997</b:Year>
    <b:Publisher>Ministerio del Medio Ambiente</b:Publisher>
    <b:City>Bogotá</b:City>
    <b:Author>
      <b:Author>
        <b:Corporate>Ministerio de Medio Ambiente</b:Corporate>
      </b:Author>
    </b:Author>
    <b:URL>https://justiciaambientalcolombia.org/wp-content/uploads/2012/09/polc3adtica-nacional-de-produccic3b3n-mc3a1s-limpia2.pdf</b:URL>
    <b:RefOrder>12</b:RefOrder>
  </b:Source>
  <b:Source>
    <b:Tag>MAD14</b:Tag>
    <b:SourceType>Report</b:SourceType>
    <b:Guid>{1C54C722-1AE9-4F38-9529-A3A792548F5F}</b:Guid>
    <b:Title>Plan Nacional de Negocios Verdes</b:Title>
    <b:Year>2014</b:Year>
    <b:City>Bogotá</b:City>
    <b:Author>
      <b:Author>
        <b:Corporate>MinAmbiente</b:Corporate>
      </b:Author>
    </b:Author>
    <b:Institution>Ministerio de Ambiente y Desarrollo Sostenible </b:Institution>
    <b:URL>https://www.crautonoma.gov.co/documentos/negocio_verde/Plan_Nacional_de_Negocios_Verdes.pdf</b:URL>
    <b:RefOrder>13</b:RefOrder>
  </b:Source>
  <b:Source>
    <b:Tag>Gob19</b:Tag>
    <b:SourceType>Book</b:SourceType>
    <b:Guid>{FC954654-2BE3-4244-91FE-2FCE882AC124}</b:Guid>
    <b:Author>
      <b:Author>
        <b:Corporate>Gobierno de Colombia</b:Corporate>
      </b:Author>
    </b:Author>
    <b:Title> Estrategia nacional de economía circular : Cierre de ciclos de materiales,innovación tecnológica, colaboración y nuevos modelos de negocio</b:Title>
    <b:Year>2019</b:Year>
    <b:City>Bogotá</b:City>
    <b:Publisher>Ministerio de Ambiente y Desarrollo Sostenible / Ministerio de Comercio, Industria y Turismo</b:Publisher>
    <b:RefOrder>14</b:RefOrder>
  </b:Source>
  <b:Source>
    <b:Tag>Min21</b:Tag>
    <b:SourceType>Book</b:SourceType>
    <b:Guid>{C8810660-E1C4-4947-98A7-7B5A390764A7}</b:Guid>
    <b:Author>
      <b:Author>
        <b:Corporate>MinAmbiente</b:Corporate>
      </b:Author>
    </b:Author>
    <b:Title>Resolucion 1294 de 2021 Por la cual se establecen los lineamientos para el desarrollo de actividades agropecuarias de bajo impacto y ambientalmente sostenibles en páramos y se adoptan otras disposiciones”</b:Title>
    <b:Year>2021</b:Year>
    <b:City>Bogotá, D.C.</b:City>
    <b:RefOrder>15</b:RefOrder>
  </b:Source>
  <b:Source>
    <b:Tag>Ins22</b:Tag>
    <b:SourceType>Book</b:SourceType>
    <b:Guid>{0087C1D6-4DB9-4CA0-B6B9-D80A53C9059F}</b:Guid>
    <b:Author>
      <b:Author>
        <b:Corporate>Instituto Colombiano Agropecuario - ICA</b:Corporate>
      </b:Author>
    </b:Author>
    <b:Title>Resolución 824 de 2022,“Por medio de la cual se establecen los requisitos para el registro ante el ICA de los lugares de producción, exportadores y empacadoras de vegetales para la exportación en fresco.”</b:Title>
    <b:Year>2022</b:Year>
    <b:City>Bogotá, D.C.</b:City>
    <b:RefOrder>16</b:RefOrder>
  </b:Source>
  <b:Source>
    <b:Tag>Min161</b:Tag>
    <b:SourceType>Book</b:SourceType>
    <b:Guid>{6E1DAF92-E2BB-44AD-9D44-74DBF9FCA752}</b:Guid>
    <b:Author>
      <b:Author>
        <b:Corporate>Ministerio de Ambiente y Desarrollo Sostenible</b:Corporate>
      </b:Author>
    </b:Author>
    <b:Title>Política para la gestión integral del recurso suelo</b:Title>
    <b:City>Bogotá</b:City>
    <b:Year>2016</b:Year>
    <b:RefOrder>17</b:RefOrder>
  </b:Source>
  <b:Source>
    <b:Tag>Min10</b:Tag>
    <b:SourceType>Book</b:SourceType>
    <b:Guid>{734033D3-E85A-2947-8A74-7F9D0DCDDC87}</b:Guid>
    <b:Author>
      <b:Author>
        <b:Corporate>Ministerio de Ambiente y Desarrollo Sostenible</b:Corporate>
      </b:Author>
    </b:Author>
    <b:Title>Política nacional para la gestión integral del recurso hídrico</b:Title>
    <b:City>Bogotá</b:City>
    <b:Year>2010</b:Year>
    <b:RefOrder>18</b:RefOrder>
  </b:Source>
  <b:Source>
    <b:Tag>Min20</b:Tag>
    <b:SourceType>Report</b:SourceType>
    <b:Guid>{A452F60D-C74E-44AA-991A-164FF51C6430}</b:Guid>
    <b:Title>Cadena productiva de aguacate</b:Title>
    <b:Year>2020</b:Year>
    <b:City>https://sioc.minagricultura.gov.co/Aguacate/Documentos/2020-12-31%20Cifras%20Sectoriales.pdf</b:City>
    <b:Publisher>https://sioc.minagricultura.gov.co/Aguacate/Documentos/2020-12-31%20Cifras%20Sectoriales.pdf</b:Publisher>
    <b:Author>
      <b:Author>
        <b:Corporate>MinAmbiente</b:Corporate>
      </b:Author>
    </b:Author>
    <b:RefOrder>19</b:RefOrder>
  </b:Source>
  <b:Source>
    <b:Tag>MAD08</b:Tag>
    <b:SourceType>BookSection</b:SourceType>
    <b:Guid>{C5E634D8-D194-402A-9696-5DBB4F982ACE}</b:Guid>
    <b:Author>
      <b:Author>
        <b:Corporate>MADR</b:Corporate>
      </b:Author>
      <b:BookAuthor>
        <b:NameList>
          <b:Person>
            <b:Last>Rural</b:Last>
            <b:First>Ministerio</b:First>
            <b:Middle>de Agricultura y Desarrollo</b:Middle>
          </b:Person>
          <b:Person>
            <b:Last>Ministerio de Ambiente</b:Last>
            <b:First>Vivienda</b:First>
            <b:Middle>y Desarrollo Territorial</b:Middle>
          </b:Person>
        </b:NameList>
      </b:BookAuthor>
    </b:Author>
    <b:Title>Decreto No 1498 de 2008</b:Title>
    <b:Year>2008</b:Year>
    <b:City>Bogotá</b:City>
    <b:URL>https://www.anla.gov.co/documentos/normativa/decretos/decreto_1498_de_2008.pdf</b:URL>
    <b:RefOrder>20</b:RefOrder>
  </b:Source>
  <b:Source>
    <b:Tag>MAD12</b:Tag>
    <b:SourceType>Book</b:SourceType>
    <b:Guid>{91936178-9513-49F5-A722-C4F202C88257}</b:Guid>
    <b:Author>
      <b:Author>
        <b:Corporate>MADS</b:Corporate>
      </b:Author>
    </b:Author>
    <b:Title>POLÍTICA NACIONAL PARA LA GESTIÓN INTEGRAL DE LA BIODIVERSIDAD Y SUS SERVICIOS ECOSISTÉMICOS (PNGIBSE)</b:Title>
    <b:Year>2012</b:Year>
    <b:City>Bogotá</b:City>
    <b:URL>https://www.minambiente.gov.co/wp-content/uploads/2021/10/Poli%CC%81tica-Nacional-de-Gestio%CC%81n-Integral-de-la-Biodiver.pdf</b:URL>
    <b:RefOrder>21</b:RefOrder>
  </b:Source>
  <b:Source>
    <b:Tag>CON91</b:Tag>
    <b:SourceType>BookSection</b:SourceType>
    <b:Guid>{2CC319EA-D214-40A1-87F0-547345FB7866}</b:Guid>
    <b:Title>CONSTITUCIÓN POLÍTICA DE COLOMBIA 1991</b:Title>
    <b:BookTitle>Capitulo 3</b:BookTitle>
    <b:Year>1991</b:Year>
    <b:URL>https://pdba.georgetown.edu/Constitutions/Colombia/colombia91.pdf</b:URL>
    <b:RefOrder>22</b:RefOrder>
  </b:Source>
  <b:Source>
    <b:Tag>Pre05</b:Tag>
    <b:SourceType>Book</b:SourceType>
    <b:Guid>{D6F23A13-4791-4CE7-96C6-039598640855}</b:Guid>
    <b:Author>
      <b:Author>
        <b:Corporate>Presidencia de la Republica de Colombia</b:Corporate>
      </b:Author>
    </b:Author>
    <b:Title>DECRETO 838 DE 2005</b:Title>
    <b:Year>2005</b:Year>
    <b:ShortTitle>por el cual se modifica el Decreto 1713 de 2002 sobre disposición final de residuos sólidos y se dictan otras disposiciones.</b:ShortTitle>
    <b:URL>https://www.funcionpublica.gov.co/eva/gestornormativo/norma.php?i=16123</b:URL>
    <b:RefOrder>23</b:RefOrder>
  </b:Source>
  <b:Source>
    <b:Tag>Con92</b:Tag>
    <b:SourceType>Book</b:SourceType>
    <b:Guid>{1945D020-CE0D-4B7B-8628-7D26A9A317AA}</b:Guid>
    <b:Author>
      <b:Author>
        <b:Corporate>Congreso de la República</b:Corporate>
      </b:Author>
    </b:Author>
    <b:Title>Ley 165 de 1994, Por medio de la cual se aprueba el "Convenio sobre la Diversidad Biológica", hecho en Río de Janeiro el 5 de junio de 1992.</b:Title>
    <b:Year>1992</b:Year>
    <b:City>Bogotá, DC.</b:City>
    <b:Publisher>Congreso de la República</b:Publisher>
    <b:RefOrder>24</b:RefOrder>
  </b:Source>
  <b:Source>
    <b:Tag>CON181</b:Tag>
    <b:SourceType>BookSection</b:SourceType>
    <b:Guid>{617D5229-1846-4705-AC05-516F2F336190}</b:Guid>
    <b:Title>Ley 1930 DE 2018</b:Title>
    <b:BookTitle>Por medio de la cual se dictan disposiciones para la gestión integral de los páramos en Colombia"</b:BookTitle>
    <b:Year>2018</b:Year>
    <b:Author>
      <b:Author>
        <b:Corporate>Congreso de la República de Colombia</b:Corporate>
      </b:Author>
    </b:Author>
    <b:URL>https://www.funcionpublica.gov.co/eva/gestornormativo/norma.php?i=87764</b:URL>
    <b:RefOrder>25</b:RefOrder>
  </b:Source>
  <b:Source>
    <b:Tag>Con97</b:Tag>
    <b:SourceType>Book</b:SourceType>
    <b:Guid>{4407E5F4-B987-4BF0-A446-1A8F724C4026}</b:Guid>
    <b:Author>
      <b:Author>
        <b:Corporate>Congreso de Colombia</b:Corporate>
      </b:Author>
    </b:Author>
    <b:Title>Ley 357 de 1997. por medio de la cual se aprueba la "Convención Relativa a los Humedales de Importancia Internacional Especialmente como Hábitat de Aves Acuáticas", suscrita en Ramsar el dos (2) de febrero de mil novecientos setenta y uno (1971).</b:Title>
    <b:Year>1997</b:Year>
    <b:City>Bogotá</b:City>
    <b:RefOrder>26</b:RefOrder>
  </b:Source>
  <b:Source>
    <b:Tag>Con11</b:Tag>
    <b:SourceType>Book</b:SourceType>
    <b:Guid>{44D32147-B2F7-4D53-85A3-D4209AEB4D1A}</b:Guid>
    <b:Author>
      <b:Author>
        <b:Corporate>Congreso de Colombia</b:Corporate>
      </b:Author>
    </b:Author>
    <b:Title>Ley 1450 de 2011 , “Por la cual se expide el Plan Nacional de Desarrollo, 2010-2014"</b:Title>
    <b:Year>2011</b:Year>
    <b:City>Bogotá</b:City>
    <b:RefOrder>27</b:RefOrder>
  </b:Source>
  <b:Source>
    <b:Tag>Con971</b:Tag>
    <b:SourceType>Book</b:SourceType>
    <b:Guid>{C6D88A66-E02F-4269-9080-0DC2A96B08AF}</b:Guid>
    <b:Author>
      <b:Author>
        <b:Corporate>Congreso de Colombia</b:Corporate>
      </b:Author>
    </b:Author>
    <b:Title>Ley 388 de 1997 Por la cual se modifica la Ley 9 de 1989, y la Ley 2 de 1991 y se dictan otras disposiciones.</b:Title>
    <b:Year>1997</b:Year>
    <b:City>Bogotá</b:City>
    <b:RefOrder>28</b:RefOrder>
  </b:Source>
  <b:Source>
    <b:Tag>Pre151</b:Tag>
    <b:SourceType>Book</b:SourceType>
    <b:Guid>{62F05800-AA13-451E-8188-E58A11FD83B1}</b:Guid>
    <b:Author>
      <b:Author>
        <b:Corporate>Presidencia de la República de Colombia</b:Corporate>
      </b:Author>
    </b:Author>
    <b:Title>Decreto 1077 de 2015 "Por medio del cuál se expide el Decreto Único Reglamentario del Sector Vivienda, Ciudad y Territorio."</b:Title>
    <b:Year>2015</b:Year>
    <b:City>Bogotá</b:City>
    <b:RefOrder>29</b:RefOrder>
  </b:Source>
  <b:Source>
    <b:Tag>CON09</b:Tag>
    <b:SourceType>Book</b:SourceType>
    <b:Guid>{F9ED5A8B-05E6-42BF-B28C-2DA1AF853823}</b:Guid>
    <b:Author>
      <b:Author>
        <b:Corporate>Congreso de la República de Colombia</b:Corporate>
      </b:Author>
    </b:Author>
    <b:Title>LEY 1333 DE 2009 “Por la cual se establece el procedimiento sancionatorio ambiental y se dictan otras disposiciones.” </b:Title>
    <b:Year>2009</b:Year>
    <b:URL>https://www.funcionpublica.gov.co/eva/gestornormativo/norma.php?i=36879</b:URL>
    <b:RefOrder>30</b:RefOrder>
  </b:Source>
  <b:Source>
    <b:Tag>Pre10</b:Tag>
    <b:SourceType>Book</b:SourceType>
    <b:Guid>{C8ED90A4-C4D4-42E8-BD7E-21DBBC4B9ADF}</b:Guid>
    <b:Author>
      <b:Author>
        <b:Corporate>Presidencia de la República de Colombia</b:Corporate>
      </b:Author>
    </b:Author>
    <b:Title>Decreto 2803 de 2010, Por el cual se reglamenta la Ley 1377 de 2010, sobre registro de cultivos forestales y sistemas agroforestales con fines comerciales, de plantaciones protectoras-productoras la movilización de productos forestales de transformación </b:Title>
    <b:Year>2010</b:Year>
    <b:City>Bogotá</b:City>
    <b:RefOrder>31</b:RefOrder>
  </b:Source>
  <b:Source>
    <b:Tag>Pre91</b:Tag>
    <b:SourceType>Book</b:SourceType>
    <b:Guid>{66679961-0353-4446-AAD9-99E34CEAAEAA}</b:Guid>
    <b:Author>
      <b:Author>
        <b:Corporate>Presidencia de la República de Colombia</b:Corporate>
      </b:Author>
    </b:Author>
    <b:Title>Decreto 1843 de 1991    Por el cual se reglamentan parcialmente los Títulos III, V,VI, VII Y XI de la Ley 09 de 1979, sobre uso y manejo de plaguicidas</b:Title>
    <b:Year>1991</b:Year>
    <b:URL>https://www.dssa.gov.co/index.php/descargas/1011-decreto-1843-1991/file</b:URL>
    <b:City>Bogotá</b:City>
    <b:RefOrder>32</b:RefOrder>
  </b:Source>
  <b:Source>
    <b:Tag>Min18</b:Tag>
    <b:SourceType>Book</b:SourceType>
    <b:Guid>{678FD343-F684-479F-A282-D68309E6B84C}</b:Guid>
    <b:Author>
      <b:Author>
        <b:Corporate>Ministro de Agricultura y Desarrollo Rural</b:Corporate>
      </b:Author>
    </b:Author>
    <b:Title>Resolución 261 de 2018 Por medio de la cual se define la frontera agrícola nacional y se adopta la metodología para la identificación general</b:Title>
    <b:Year>2018</b:Year>
    <b:ShortTitle>Pr medio de la cual se define la Frontera Agrícola Nacional y se adopta la metodología para la identificación general</b:ShortTitle>
    <b:URL>https://www.minagricultura.gov.co/Normatividad/Resoluciones/Resoluci%C3%B3n%20No%20000261%20de%202018.pdf</b:URL>
    <b:City>Bogotá</b:City>
    <b:RefOrder>33</b:RefOrder>
  </b:Source>
  <b:Source>
    <b:Tag>Ins16</b:Tag>
    <b:SourceType>Book</b:SourceType>
    <b:Guid>{EAB12156-D405-4B13-A277-E63A7DE77DD7}</b:Guid>
    <b:Author>
      <b:Author>
        <b:Corporate>Instituto Colombiano Agropecuario - ICA</b:Corporate>
      </b:Author>
    </b:Author>
    <b:Title>Resolución 20009 de 2016, Por medio de la cual se establecen los requisitos para la Certificación en Buenas Prácticas Agrícolas en producción primaria de vegetales y otras especies para consumo humano</b:Title>
    <b:Year>2016</b:Year>
    <b:City>Bogotá</b:City>
    <b:RefOrder>34</b:RefOrder>
  </b:Source>
  <b:Source>
    <b:Tag>Ins21</b:Tag>
    <b:SourceType>Book</b:SourceType>
    <b:Guid>{81999E32-2BEB-4CFC-BF6E-3F33EB0DD8BE}</b:Guid>
    <b:Author>
      <b:Author>
        <b:Corporate>Instituto Colombiano Agropecuario - ICA</b:Corporate>
      </b:Author>
    </b:Author>
    <b:Title>Resolucion 92101 de 2021 “Por medio de la cual se suspende temporalmente el registro de los productos formulados que contengan como ingrediente activo Fipronil y que dentro de los formulados que contengan como ingrediente activo Fipronil </b:Title>
    <b:Year>2021</b:Year>
    <b:City>Bogotá</b:City>
    <b:RefOrder>35</b:RefOrder>
  </b:Source>
  <b:Source>
    <b:Tag>Ins12</b:Tag>
    <b:SourceType>Report</b:SourceType>
    <b:Guid>{88F6A5AC-CCE9-4A2C-89F2-940532D1BC84}</b:Guid>
    <b:Author>
      <b:Author>
        <b:Corporate>Instituto Colombiano Agropecuario ICA</b:Corporate>
      </b:Author>
    </b:Author>
    <b:Title>Manejo fitosanitario del cultivo del aguacate Hass(Persea americana Mill) </b:Title>
    <b:Year>2012</b:Year>
    <b:City>Bogotá D.C. Colombia</b:City>
    <b:RefOrder>36</b:RefOrder>
  </b:Source>
  <b:Source>
    <b:Tag>Rur21</b:Tag>
    <b:SourceType>DocumentFromInternetSite</b:SourceType>
    <b:Guid>{DE6CE0FB-9860-43CC-8CF7-A9841831CC4E}</b:Guid>
    <b:Author>
      <b:Author>
        <b:Corporate>Ministerio de agricultura y Desarrollo Rural </b:Corporate>
      </b:Author>
    </b:Author>
    <b:Title>Cadena productiva Aguacate</b:Title>
    <b:Year>2021</b:Year>
    <b:URL>https://sioc.minagricultura.gov.co/Aguacate/Documentos/2021-03-31%20Cifras%20Sectoriales.pdff</b:URL>
    <b:RefOrder>37</b:RefOrder>
  </b:Source>
  <b:Source>
    <b:Tag>Min24</b:Tag>
    <b:SourceType>InternetSite</b:SourceType>
    <b:Guid>{6567FD37-AD4A-4576-B605-9F638B718F52}</b:Guid>
    <b:Author>
      <b:Author>
        <b:Corporate>Minagricultura</b:Corporate>
      </b:Author>
    </b:Author>
    <b:Title>https://www.minagricultura.gov.co/noticias/Paginas/1-500-toneladas-de-aguacate-Hass-colombiano-le-pondr%C3%A1n-sabor-al-Super-Bowl,-el-m%C3%A1s-grande-evento-deportivo-de-Estados-Unido.aspx#:~:text=El%20aguacate%20Hass%20es%20la,a%20m%C3%A1s%20de%2030%20p</b:Title>
    <b:Year>2024</b:Year>
    <b:Month>febrero</b:Month>
    <b:URL>https://www.minagricultura.gov.co/noticias/Paginas/1-500-toneladas-de-aguacate-Hass-colombiano-le-pondr%C3%A1n-sabor-al-Super-Bowl,-el-m%C3%A1s-grande-evento-deportivo-de-Estados-Unido.aspx#:~:text=El%20aguacate%20Hass%20es%20la,a%20m%C3%A1s%20de%2030%20p</b:URL>
    <b:RefOrder>38</b:RefOrder>
  </b:Source>
  <b:Source>
    <b:Tag>Tor</b:Tag>
    <b:SourceType>JournalArticle</b:SourceType>
    <b:Guid>{BF74C569-148D-4FA6-BBDD-D3DB13556E53}</b:Guid>
    <b:Title>El mercado del aguacate en Colombia.</b:Title>
    <b:Author>
      <b:Author>
        <b:NameList>
          <b:Person>
            <b:Last>Torres Madroñero</b:Last>
            <b:First>M.</b:First>
            <b:Middle>C., &amp; Trochez Gonzalez, J.</b:Middle>
          </b:Person>
        </b:NameList>
      </b:Author>
    </b:Author>
    <b:JournalName>Apuntes del Cenes</b:JournalName>
    <b:Pages>273-292</b:Pages>
    <b:Volume>42</b:Volume>
    <b:Issue>75</b:Issue>
    <b:Year>2023</b:Year>
    <b:RefOrder>39</b:RefOrder>
  </b:Source>
</b:Sources>
</file>

<file path=customXml/itemProps1.xml><?xml version="1.0" encoding="utf-8"?>
<ds:datastoreItem xmlns:ds="http://schemas.openxmlformats.org/officeDocument/2006/customXml" ds:itemID="{9A88A62D-1FA7-4E7C-B21B-1A488D606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69</Pages>
  <Words>25018</Words>
  <Characters>142608</Characters>
  <Application>Microsoft Office Word</Application>
  <DocSecurity>0</DocSecurity>
  <Lines>1188</Lines>
  <Paragraphs>334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167292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AMBIENTE</dc:creator>
  <cp:keywords/>
  <dc:description/>
  <cp:lastModifiedBy>Dalila</cp:lastModifiedBy>
  <cp:revision>32</cp:revision>
  <cp:lastPrinted>2022-11-25T13:26:00Z</cp:lastPrinted>
  <dcterms:created xsi:type="dcterms:W3CDTF">2025-10-17T22:12:00Z</dcterms:created>
  <dcterms:modified xsi:type="dcterms:W3CDTF">2025-10-21T00:03:00Z</dcterms:modified>
</cp:coreProperties>
</file>